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F55B" w14:textId="77777777" w:rsidR="008778C8" w:rsidRPr="00A7391C" w:rsidRDefault="008778C8" w:rsidP="008778C8">
      <w:pPr>
        <w:jc w:val="center"/>
        <w:rPr>
          <w:rFonts w:cstheme="minorHAnsi"/>
          <w:b/>
          <w:bCs/>
        </w:rPr>
      </w:pPr>
      <w:r w:rsidRPr="00A7391C">
        <w:rPr>
          <w:rFonts w:cstheme="minorHAnsi"/>
          <w:b/>
          <w:bCs/>
        </w:rPr>
        <w:t>Assessment 5: Professional Development Project</w:t>
      </w:r>
    </w:p>
    <w:p w14:paraId="04985BBC" w14:textId="77777777" w:rsidR="008778C8" w:rsidRPr="00A7391C" w:rsidRDefault="008778C8" w:rsidP="008778C8">
      <w:pPr>
        <w:jc w:val="center"/>
        <w:rPr>
          <w:rFonts w:cstheme="minorHAnsi"/>
          <w:b/>
          <w:bCs/>
        </w:rPr>
      </w:pPr>
    </w:p>
    <w:p w14:paraId="6403ED32" w14:textId="77777777" w:rsidR="008778C8" w:rsidRPr="00A7391C" w:rsidRDefault="008778C8" w:rsidP="008778C8">
      <w:pPr>
        <w:jc w:val="both"/>
        <w:rPr>
          <w:rFonts w:cstheme="minorHAnsi"/>
          <w:b/>
          <w:bCs/>
          <w:u w:val="single"/>
        </w:rPr>
      </w:pPr>
      <w:r w:rsidRPr="00A7391C">
        <w:rPr>
          <w:rFonts w:cstheme="minorHAnsi"/>
          <w:b/>
          <w:bCs/>
          <w:u w:val="single"/>
        </w:rPr>
        <w:t>Part 1</w:t>
      </w:r>
    </w:p>
    <w:p w14:paraId="05AF9652" w14:textId="77777777" w:rsidR="008778C8" w:rsidRPr="00A7391C" w:rsidRDefault="008778C8" w:rsidP="008778C8">
      <w:pPr>
        <w:jc w:val="both"/>
        <w:rPr>
          <w:rFonts w:cstheme="minorHAnsi"/>
          <w:b/>
          <w:bCs/>
        </w:rPr>
      </w:pPr>
      <w:r w:rsidRPr="00A7391C">
        <w:rPr>
          <w:rFonts w:cstheme="minorHAnsi"/>
          <w:b/>
          <w:bCs/>
        </w:rPr>
        <w:t>a. Assessment</w:t>
      </w:r>
    </w:p>
    <w:p w14:paraId="3C2684A2" w14:textId="72DF41F1" w:rsidR="008778C8" w:rsidRPr="00A7391C" w:rsidRDefault="008778C8" w:rsidP="008778C8">
      <w:pPr>
        <w:rPr>
          <w:rFonts w:cstheme="minorHAnsi"/>
        </w:rPr>
      </w:pPr>
      <w:r w:rsidRPr="00A7391C">
        <w:rPr>
          <w:rFonts w:cstheme="minorHAnsi"/>
        </w:rPr>
        <w:t>Toward the end of the</w:t>
      </w:r>
      <w:r w:rsidR="004D5E06">
        <w:rPr>
          <w:rFonts w:cstheme="minorHAnsi"/>
        </w:rPr>
        <w:t xml:space="preserve"> required</w:t>
      </w:r>
      <w:r w:rsidRPr="00A7391C">
        <w:rPr>
          <w:rFonts w:cstheme="minorHAnsi"/>
        </w:rPr>
        <w:t xml:space="preserve"> course Staff Supervision (SUPV 520), all educational leadership candidates complete </w:t>
      </w:r>
      <w:r w:rsidR="004D5E06">
        <w:rPr>
          <w:rFonts w:cstheme="minorHAnsi"/>
        </w:rPr>
        <w:t>a</w:t>
      </w:r>
      <w:r w:rsidRPr="00A7391C">
        <w:rPr>
          <w:rFonts w:cstheme="minorHAnsi"/>
        </w:rPr>
        <w:t xml:space="preserve"> Professional Development Project to demonstrate their ability to promote the success of all students by investigating best practices in instruction, teacher assessment, and nurturing an effective learning community among teachers</w:t>
      </w:r>
      <w:r w:rsidR="004D5E06">
        <w:rPr>
          <w:rFonts w:cstheme="minorHAnsi"/>
        </w:rPr>
        <w:t xml:space="preserve"> by developing a data-informed plan for professional learning</w:t>
      </w:r>
      <w:r w:rsidRPr="00A7391C">
        <w:rPr>
          <w:rFonts w:cstheme="minorHAnsi"/>
        </w:rPr>
        <w:t>. SUPV 520 is typically taken by candidates toward the middle of their programs of study. Results of the assessment are shared with candidates in Canvas, the TCNJ electronic learning management system.</w:t>
      </w:r>
    </w:p>
    <w:p w14:paraId="2CBB0136" w14:textId="77777777" w:rsidR="008778C8" w:rsidRPr="00A7391C" w:rsidRDefault="008778C8" w:rsidP="008778C8">
      <w:pPr>
        <w:rPr>
          <w:rFonts w:cstheme="minorHAnsi"/>
        </w:rPr>
      </w:pPr>
    </w:p>
    <w:p w14:paraId="7889ED45" w14:textId="684075F8" w:rsidR="008778C8" w:rsidRDefault="004D5E06" w:rsidP="008778C8">
      <w:pPr>
        <w:jc w:val="both"/>
        <w:rPr>
          <w:rFonts w:cstheme="minorHAnsi"/>
        </w:rPr>
      </w:pPr>
      <w:r w:rsidRPr="00CB77BC">
        <w:rPr>
          <w:rFonts w:cstheme="minorHAnsi"/>
        </w:rPr>
        <w:t>The rubric derives its validity from alignment to the NELP standards and agreement by a panel of five experts in the field of educational leadership</w:t>
      </w:r>
      <w:r>
        <w:rPr>
          <w:rFonts w:cstheme="minorHAnsi"/>
        </w:rPr>
        <w:t>.</w:t>
      </w:r>
    </w:p>
    <w:p w14:paraId="12C69B4C" w14:textId="77777777" w:rsidR="004D5E06" w:rsidRPr="00A7391C" w:rsidRDefault="004D5E06" w:rsidP="008778C8">
      <w:pPr>
        <w:jc w:val="both"/>
        <w:rPr>
          <w:rFonts w:cstheme="minorHAnsi"/>
        </w:rPr>
      </w:pPr>
    </w:p>
    <w:p w14:paraId="5E607656" w14:textId="77777777" w:rsidR="008778C8" w:rsidRPr="00A7391C" w:rsidRDefault="008778C8" w:rsidP="008778C8">
      <w:pPr>
        <w:jc w:val="both"/>
        <w:rPr>
          <w:rFonts w:cstheme="minorHAnsi"/>
          <w:b/>
          <w:bCs/>
        </w:rPr>
      </w:pPr>
      <w:r w:rsidRPr="00A7391C">
        <w:rPr>
          <w:rFonts w:cstheme="minorHAnsi"/>
          <w:b/>
          <w:bCs/>
        </w:rPr>
        <w:t>b. Alignment to Standards</w:t>
      </w:r>
    </w:p>
    <w:p w14:paraId="35A8AE44" w14:textId="77777777" w:rsidR="008778C8" w:rsidRPr="00A7391C" w:rsidRDefault="008778C8" w:rsidP="008778C8">
      <w:pPr>
        <w:rPr>
          <w:rFonts w:cstheme="minorHAnsi"/>
        </w:rPr>
      </w:pPr>
      <w:r w:rsidRPr="00A7391C">
        <w:rPr>
          <w:rFonts w:cstheme="minorHAnsi"/>
        </w:rPr>
        <w:t>NELP 1.2, 3.3, 6.2, 7.2. 7.3, 7.4</w:t>
      </w:r>
    </w:p>
    <w:p w14:paraId="23322532" w14:textId="77777777" w:rsidR="008778C8" w:rsidRPr="00A7391C" w:rsidRDefault="008778C8" w:rsidP="008778C8">
      <w:pPr>
        <w:rPr>
          <w:rFonts w:cstheme="minorHAnsi"/>
        </w:rPr>
      </w:pPr>
      <w:r w:rsidRPr="00A7391C">
        <w:rPr>
          <w:rFonts w:cstheme="minorHAnsi"/>
        </w:rPr>
        <w:t>CAEP Standards for Advanced Programs: A.1.1.a; A.1.1.b; A.1.1.c</w:t>
      </w:r>
    </w:p>
    <w:p w14:paraId="55C9B55F" w14:textId="77777777" w:rsidR="008778C8" w:rsidRPr="00A7391C" w:rsidRDefault="008778C8" w:rsidP="008778C8">
      <w:pPr>
        <w:rPr>
          <w:rFonts w:cstheme="minorHAnsi"/>
        </w:rPr>
      </w:pPr>
    </w:p>
    <w:p w14:paraId="363FDEEB" w14:textId="21ACE9E6" w:rsidR="008778C8" w:rsidRPr="00A7391C" w:rsidRDefault="008778C8" w:rsidP="008778C8">
      <w:pPr>
        <w:rPr>
          <w:rFonts w:cstheme="minorHAnsi"/>
        </w:rPr>
      </w:pPr>
      <w:r w:rsidRPr="00A7391C">
        <w:rPr>
          <w:rFonts w:cstheme="minorHAnsi"/>
        </w:rPr>
        <w:t xml:space="preserve">This assessment has </w:t>
      </w:r>
      <w:proofErr w:type="gramStart"/>
      <w:r w:rsidRPr="00A7391C">
        <w:rPr>
          <w:rFonts w:cstheme="minorHAnsi"/>
        </w:rPr>
        <w:t>was</w:t>
      </w:r>
      <w:proofErr w:type="gramEnd"/>
      <w:r w:rsidRPr="00A7391C">
        <w:rPr>
          <w:rFonts w:cstheme="minorHAnsi"/>
        </w:rPr>
        <w:t xml:space="preserve"> revised to align with the NELP standards and </w:t>
      </w:r>
      <w:r w:rsidR="004D5E06">
        <w:rPr>
          <w:rFonts w:cstheme="minorHAnsi"/>
        </w:rPr>
        <w:t xml:space="preserve">first </w:t>
      </w:r>
      <w:r w:rsidRPr="00A7391C">
        <w:rPr>
          <w:rFonts w:cstheme="minorHAnsi"/>
        </w:rPr>
        <w:t>implemented in fall 2019.</w:t>
      </w:r>
    </w:p>
    <w:p w14:paraId="4B57BC4E" w14:textId="77777777" w:rsidR="008778C8" w:rsidRPr="00A7391C" w:rsidRDefault="008778C8" w:rsidP="008778C8">
      <w:pPr>
        <w:jc w:val="both"/>
        <w:rPr>
          <w:rFonts w:cstheme="minorHAnsi"/>
        </w:rPr>
      </w:pPr>
    </w:p>
    <w:p w14:paraId="7FDFDB7E" w14:textId="054930BC" w:rsidR="008778C8" w:rsidRDefault="008778C8" w:rsidP="008778C8">
      <w:pPr>
        <w:jc w:val="both"/>
        <w:rPr>
          <w:rFonts w:cstheme="minorHAnsi"/>
          <w:b/>
          <w:bCs/>
        </w:rPr>
      </w:pPr>
      <w:r w:rsidRPr="00A7391C">
        <w:rPr>
          <w:rFonts w:cstheme="minorHAnsi"/>
          <w:b/>
          <w:bCs/>
        </w:rPr>
        <w:t>c. Analysis of data findings</w:t>
      </w:r>
    </w:p>
    <w:p w14:paraId="63DF58C4" w14:textId="2D102BF9" w:rsidR="006538AF" w:rsidRPr="006538AF" w:rsidRDefault="006538AF" w:rsidP="006538AF">
      <w:pPr>
        <w:rPr>
          <w:rFonts w:cstheme="minorHAnsi"/>
        </w:rPr>
      </w:pPr>
      <w:r>
        <w:rPr>
          <w:rFonts w:cstheme="minorHAnsi"/>
        </w:rPr>
        <w:t xml:space="preserve">There is only one data point for this assessment. All candidates performed in the acceptable or target ranges for all standards. The lowest performance was on standards 3.3 and 1.2, with 62% and 69% of candidates scoring in the target range. </w:t>
      </w:r>
    </w:p>
    <w:p w14:paraId="49F464D6" w14:textId="77777777" w:rsidR="008778C8" w:rsidRPr="00A7391C" w:rsidRDefault="008778C8" w:rsidP="008778C8">
      <w:pPr>
        <w:jc w:val="both"/>
        <w:rPr>
          <w:rFonts w:cstheme="minorHAnsi"/>
        </w:rPr>
      </w:pPr>
    </w:p>
    <w:p w14:paraId="3FCD4D85" w14:textId="0658AC13" w:rsidR="008778C8" w:rsidRDefault="008778C8" w:rsidP="008778C8">
      <w:pPr>
        <w:jc w:val="both"/>
        <w:rPr>
          <w:rFonts w:cstheme="minorHAnsi"/>
          <w:b/>
          <w:bCs/>
        </w:rPr>
      </w:pPr>
      <w:r w:rsidRPr="00A7391C">
        <w:rPr>
          <w:rFonts w:cstheme="minorHAnsi"/>
          <w:b/>
          <w:bCs/>
        </w:rPr>
        <w:t xml:space="preserve">d. Interpretation of evidence of meeting standards </w:t>
      </w:r>
    </w:p>
    <w:p w14:paraId="12CE0037" w14:textId="4D9BDEB9" w:rsidR="006538AF" w:rsidRPr="006538AF" w:rsidRDefault="006538AF" w:rsidP="00D011D5">
      <w:pPr>
        <w:rPr>
          <w:rFonts w:cstheme="minorHAnsi"/>
        </w:rPr>
      </w:pPr>
      <w:r>
        <w:rPr>
          <w:rFonts w:cstheme="minorHAnsi"/>
        </w:rPr>
        <w:t>Candidates appear to need additional support to master the</w:t>
      </w:r>
      <w:r w:rsidR="00D011D5">
        <w:rPr>
          <w:rFonts w:cstheme="minorHAnsi"/>
        </w:rPr>
        <w:t xml:space="preserve"> ability to design equity-focused objectives (3.3) and develop a detailed action plan for professional learning (1.2) in an authentic setting.</w:t>
      </w:r>
    </w:p>
    <w:p w14:paraId="4223B0BF" w14:textId="77777777" w:rsidR="008778C8" w:rsidRPr="00A7391C" w:rsidRDefault="008778C8" w:rsidP="008778C8">
      <w:pPr>
        <w:jc w:val="both"/>
        <w:rPr>
          <w:rFonts w:cstheme="minorHAnsi"/>
        </w:rPr>
      </w:pPr>
    </w:p>
    <w:p w14:paraId="6E406986" w14:textId="77777777" w:rsidR="008778C8" w:rsidRDefault="008778C8" w:rsidP="008778C8">
      <w:pPr>
        <w:rPr>
          <w:rFonts w:cstheme="minorHAnsi"/>
          <w:b/>
          <w:bCs/>
          <w:u w:val="single"/>
        </w:rPr>
      </w:pPr>
      <w:r>
        <w:rPr>
          <w:rFonts w:cstheme="minorHAnsi"/>
          <w:b/>
          <w:bCs/>
          <w:u w:val="single"/>
        </w:rPr>
        <w:br w:type="page"/>
      </w:r>
    </w:p>
    <w:p w14:paraId="381D273A" w14:textId="77777777" w:rsidR="008778C8" w:rsidRPr="00A7391C" w:rsidRDefault="008778C8" w:rsidP="008778C8">
      <w:pPr>
        <w:jc w:val="both"/>
        <w:rPr>
          <w:rFonts w:cstheme="minorHAnsi"/>
          <w:b/>
          <w:bCs/>
          <w:u w:val="single"/>
        </w:rPr>
      </w:pPr>
      <w:r w:rsidRPr="00A7391C">
        <w:rPr>
          <w:rFonts w:cstheme="minorHAnsi"/>
          <w:b/>
          <w:bCs/>
          <w:u w:val="single"/>
        </w:rPr>
        <w:lastRenderedPageBreak/>
        <w:t>Part 2</w:t>
      </w:r>
    </w:p>
    <w:p w14:paraId="5176A520" w14:textId="77777777" w:rsidR="008778C8" w:rsidRPr="00A7391C" w:rsidRDefault="008778C8" w:rsidP="008778C8">
      <w:pPr>
        <w:jc w:val="both"/>
        <w:rPr>
          <w:rFonts w:cstheme="minorHAnsi"/>
          <w:b/>
          <w:bCs/>
        </w:rPr>
      </w:pPr>
      <w:r w:rsidRPr="00A7391C">
        <w:rPr>
          <w:rFonts w:cstheme="minorHAnsi"/>
          <w:b/>
          <w:bCs/>
        </w:rPr>
        <w:t>e. Assessment</w:t>
      </w:r>
    </w:p>
    <w:p w14:paraId="4FA99A49" w14:textId="77777777" w:rsidR="008778C8" w:rsidRPr="00A7391C" w:rsidRDefault="008778C8" w:rsidP="008778C8">
      <w:pPr>
        <w:pStyle w:val="Heading1"/>
        <w:spacing w:before="0"/>
        <w:jc w:val="center"/>
        <w:rPr>
          <w:rFonts w:asciiTheme="minorHAnsi" w:hAnsiTheme="minorHAnsi" w:cstheme="minorHAnsi"/>
          <w:b/>
          <w:color w:val="000000" w:themeColor="text1"/>
          <w:sz w:val="24"/>
          <w:szCs w:val="24"/>
        </w:rPr>
      </w:pPr>
      <w:r w:rsidRPr="00A7391C">
        <w:rPr>
          <w:rFonts w:asciiTheme="minorHAnsi" w:hAnsiTheme="minorHAnsi" w:cstheme="minorHAnsi"/>
          <w:color w:val="000000" w:themeColor="text1"/>
          <w:sz w:val="24"/>
          <w:szCs w:val="24"/>
        </w:rPr>
        <w:t>The College of New Jersey</w:t>
      </w:r>
    </w:p>
    <w:p w14:paraId="3890BE4F" w14:textId="77777777" w:rsidR="008778C8" w:rsidRPr="00A7391C" w:rsidRDefault="008778C8" w:rsidP="008778C8">
      <w:pPr>
        <w:jc w:val="center"/>
        <w:rPr>
          <w:rFonts w:cstheme="minorHAnsi"/>
          <w:color w:val="000000" w:themeColor="text1"/>
        </w:rPr>
      </w:pPr>
      <w:r w:rsidRPr="00A7391C">
        <w:rPr>
          <w:rFonts w:cstheme="minorHAnsi"/>
          <w:color w:val="000000" w:themeColor="text1"/>
        </w:rPr>
        <w:t>Department of Educational Administration and Secondary Education</w:t>
      </w:r>
    </w:p>
    <w:p w14:paraId="23E1A3BC" w14:textId="77777777" w:rsidR="008778C8" w:rsidRPr="00A7391C" w:rsidRDefault="008778C8" w:rsidP="008778C8">
      <w:pPr>
        <w:pStyle w:val="Heading4"/>
        <w:spacing w:before="0"/>
        <w:jc w:val="center"/>
        <w:rPr>
          <w:rFonts w:asciiTheme="minorHAnsi" w:hAnsiTheme="minorHAnsi" w:cstheme="minorHAnsi"/>
          <w:i w:val="0"/>
          <w:iCs w:val="0"/>
          <w:color w:val="000000" w:themeColor="text1"/>
        </w:rPr>
      </w:pPr>
      <w:r w:rsidRPr="00A7391C">
        <w:rPr>
          <w:rFonts w:asciiTheme="minorHAnsi" w:hAnsiTheme="minorHAnsi" w:cstheme="minorHAnsi"/>
          <w:i w:val="0"/>
          <w:iCs w:val="0"/>
          <w:color w:val="000000" w:themeColor="text1"/>
        </w:rPr>
        <w:t>Professional Development Project</w:t>
      </w:r>
    </w:p>
    <w:p w14:paraId="22531E45" w14:textId="77777777" w:rsidR="008778C8" w:rsidRPr="00A7391C" w:rsidRDefault="008778C8" w:rsidP="008778C8">
      <w:pPr>
        <w:rPr>
          <w:rFonts w:cstheme="minorHAnsi"/>
          <w:color w:val="000000" w:themeColor="text1"/>
        </w:rPr>
      </w:pPr>
    </w:p>
    <w:p w14:paraId="69BCEEAB" w14:textId="77777777" w:rsidR="008778C8" w:rsidRPr="00A7391C" w:rsidRDefault="008778C8" w:rsidP="008778C8">
      <w:pPr>
        <w:rPr>
          <w:rFonts w:cstheme="minorHAnsi"/>
          <w:color w:val="000000" w:themeColor="text1"/>
        </w:rPr>
      </w:pPr>
      <w:r w:rsidRPr="00A7391C">
        <w:rPr>
          <w:rFonts w:cstheme="minorHAnsi"/>
          <w:b/>
          <w:color w:val="000000" w:themeColor="text1"/>
        </w:rPr>
        <w:t xml:space="preserve">The Purpose of the Assignment: </w:t>
      </w:r>
      <w:r w:rsidRPr="00A7391C">
        <w:rPr>
          <w:rFonts w:cstheme="minorHAnsi"/>
          <w:color w:val="000000" w:themeColor="text1"/>
        </w:rPr>
        <w:t>The purpose of this assignment is for you to demonstrate the capacity to promote the current and future success of each student and adult by applying the skills necessary to build the school’s professional capacity, engage staff in the development of a collaborative professional culture, and use data to inform improvements to systems of supervision, evaluation, support, and professional learning (NELP Standard 7: Building Professional Capacity).</w:t>
      </w:r>
    </w:p>
    <w:p w14:paraId="101CF968" w14:textId="77777777" w:rsidR="008778C8" w:rsidRPr="00A7391C" w:rsidRDefault="008778C8" w:rsidP="008778C8">
      <w:pPr>
        <w:rPr>
          <w:rFonts w:cstheme="minorHAnsi"/>
          <w:color w:val="000000" w:themeColor="text1"/>
        </w:rPr>
      </w:pPr>
    </w:p>
    <w:p w14:paraId="4298B1BE" w14:textId="77777777" w:rsidR="008778C8" w:rsidRPr="00A7391C" w:rsidRDefault="008778C8" w:rsidP="008778C8">
      <w:pPr>
        <w:rPr>
          <w:rFonts w:cstheme="minorHAnsi"/>
          <w:b/>
          <w:color w:val="000000" w:themeColor="text1"/>
        </w:rPr>
      </w:pPr>
      <w:r w:rsidRPr="00A7391C">
        <w:rPr>
          <w:rFonts w:cstheme="minorHAnsi"/>
          <w:b/>
          <w:color w:val="000000" w:themeColor="text1"/>
        </w:rPr>
        <w:t>Directions:</w:t>
      </w:r>
    </w:p>
    <w:p w14:paraId="49F24BB9" w14:textId="77777777" w:rsidR="004D5E06" w:rsidRDefault="008778C8" w:rsidP="008778C8">
      <w:pPr>
        <w:rPr>
          <w:rFonts w:cstheme="minorHAnsi"/>
          <w:color w:val="000000" w:themeColor="text1"/>
        </w:rPr>
      </w:pPr>
      <w:r w:rsidRPr="00A7391C">
        <w:rPr>
          <w:rFonts w:cstheme="minorHAnsi"/>
          <w:color w:val="000000" w:themeColor="text1"/>
        </w:rPr>
        <w:t xml:space="preserve">Specifically, the Professional Development Project requires you to </w:t>
      </w:r>
      <w:r w:rsidRPr="00A7391C">
        <w:rPr>
          <w:rFonts w:cstheme="minorHAnsi"/>
          <w:b/>
          <w:color w:val="000000" w:themeColor="text1"/>
        </w:rPr>
        <w:t>analyze</w:t>
      </w:r>
      <w:r w:rsidRPr="00A7391C">
        <w:rPr>
          <w:rFonts w:cstheme="minorHAnsi"/>
          <w:color w:val="000000" w:themeColor="text1"/>
        </w:rPr>
        <w:t xml:space="preserve"> data on teacher instruction or student achievement and </w:t>
      </w:r>
      <w:r w:rsidRPr="00A7391C">
        <w:rPr>
          <w:rFonts w:cstheme="minorHAnsi"/>
          <w:b/>
          <w:color w:val="000000" w:themeColor="text1"/>
        </w:rPr>
        <w:t>develop</w:t>
      </w:r>
      <w:r w:rsidRPr="00A7391C">
        <w:rPr>
          <w:rFonts w:cstheme="minorHAnsi"/>
          <w:color w:val="000000" w:themeColor="text1"/>
        </w:rPr>
        <w:t xml:space="preserve"> a program of professional learning that </w:t>
      </w:r>
      <w:r w:rsidRPr="00A7391C">
        <w:rPr>
          <w:rFonts w:cstheme="minorHAnsi"/>
          <w:b/>
          <w:color w:val="000000" w:themeColor="text1"/>
        </w:rPr>
        <w:t>cultivates</w:t>
      </w:r>
      <w:r w:rsidRPr="00A7391C">
        <w:rPr>
          <w:rFonts w:cstheme="minorHAnsi"/>
          <w:color w:val="000000" w:themeColor="text1"/>
        </w:rPr>
        <w:t xml:space="preserve"> needed professional skills in a grade level, department, school, or other identified group of school professionals. </w:t>
      </w:r>
    </w:p>
    <w:p w14:paraId="62B2F99E" w14:textId="77777777" w:rsidR="004D5E06" w:rsidRDefault="004D5E06" w:rsidP="008778C8">
      <w:pPr>
        <w:rPr>
          <w:rFonts w:cstheme="minorHAnsi"/>
          <w:color w:val="000000" w:themeColor="text1"/>
        </w:rPr>
      </w:pPr>
    </w:p>
    <w:p w14:paraId="76E7B13E" w14:textId="6F4FC7DA" w:rsidR="008778C8" w:rsidRPr="00A7391C" w:rsidRDefault="008778C8" w:rsidP="008778C8">
      <w:pPr>
        <w:rPr>
          <w:rFonts w:cstheme="minorHAnsi"/>
          <w:color w:val="000000" w:themeColor="text1"/>
        </w:rPr>
      </w:pPr>
      <w:r w:rsidRPr="00A7391C">
        <w:rPr>
          <w:rFonts w:cstheme="minorHAnsi"/>
          <w:color w:val="000000" w:themeColor="text1"/>
        </w:rPr>
        <w:t xml:space="preserve">You will be assessed in six areas. </w:t>
      </w:r>
    </w:p>
    <w:p w14:paraId="318794F4" w14:textId="77777777" w:rsidR="008778C8" w:rsidRPr="00A7391C" w:rsidRDefault="008778C8" w:rsidP="008778C8">
      <w:pPr>
        <w:rPr>
          <w:rFonts w:cstheme="minorHAnsi"/>
          <w:color w:val="000000" w:themeColor="text1"/>
        </w:rPr>
      </w:pPr>
    </w:p>
    <w:p w14:paraId="652FBE83" w14:textId="2CD3976B" w:rsidR="008778C8" w:rsidRPr="00A7391C" w:rsidRDefault="008778C8" w:rsidP="008778C8">
      <w:pPr>
        <w:numPr>
          <w:ilvl w:val="0"/>
          <w:numId w:val="1"/>
        </w:numPr>
        <w:rPr>
          <w:rFonts w:cstheme="minorHAnsi"/>
          <w:color w:val="000000" w:themeColor="text1"/>
        </w:rPr>
      </w:pPr>
      <w:r w:rsidRPr="00A7391C">
        <w:rPr>
          <w:rFonts w:cstheme="minorHAnsi"/>
          <w:color w:val="000000" w:themeColor="text1"/>
        </w:rPr>
        <w:t xml:space="preserve">Data supported rationale: </w:t>
      </w:r>
      <w:r w:rsidR="004D5E06">
        <w:rPr>
          <w:rFonts w:cstheme="minorHAnsi"/>
          <w:color w:val="000000" w:themeColor="text1"/>
        </w:rPr>
        <w:t>Justify the topic of this plan</w:t>
      </w:r>
      <w:r w:rsidRPr="00A7391C">
        <w:rPr>
          <w:rFonts w:cstheme="minorHAnsi"/>
          <w:color w:val="000000" w:themeColor="text1"/>
        </w:rPr>
        <w:t xml:space="preserve"> </w:t>
      </w:r>
      <w:r w:rsidR="004D5E06">
        <w:rPr>
          <w:rFonts w:cstheme="minorHAnsi"/>
          <w:color w:val="000000" w:themeColor="text1"/>
        </w:rPr>
        <w:t>using</w:t>
      </w:r>
      <w:r w:rsidRPr="00A7391C">
        <w:rPr>
          <w:rFonts w:cstheme="minorHAnsi"/>
          <w:color w:val="000000" w:themeColor="text1"/>
        </w:rPr>
        <w:t xml:space="preserve"> more than one data source </w:t>
      </w:r>
      <w:r w:rsidR="004D5E06">
        <w:rPr>
          <w:rFonts w:cstheme="minorHAnsi"/>
          <w:color w:val="000000" w:themeColor="text1"/>
        </w:rPr>
        <w:t>that is</w:t>
      </w:r>
      <w:r w:rsidRPr="00A7391C">
        <w:rPr>
          <w:rFonts w:cstheme="minorHAnsi"/>
          <w:color w:val="000000" w:themeColor="text1"/>
        </w:rPr>
        <w:t xml:space="preserve"> related to teacher instructional needs, student achievement, or student wellness (e.g. test scores, survey responses, teacher observation/evaluation)</w:t>
      </w:r>
      <w:r w:rsidR="004D5E06">
        <w:rPr>
          <w:rFonts w:cstheme="minorHAnsi"/>
          <w:color w:val="000000" w:themeColor="text1"/>
        </w:rPr>
        <w:t>.</w:t>
      </w:r>
      <w:r w:rsidRPr="00A7391C">
        <w:rPr>
          <w:rFonts w:cstheme="minorHAnsi"/>
          <w:color w:val="000000" w:themeColor="text1"/>
        </w:rPr>
        <w:t xml:space="preserve"> (NELP 6.2; CAEP A.1.1.a) </w:t>
      </w:r>
    </w:p>
    <w:p w14:paraId="73AC834D" w14:textId="04F93238" w:rsidR="008778C8" w:rsidRPr="00A7391C" w:rsidRDefault="008778C8" w:rsidP="008778C8">
      <w:pPr>
        <w:numPr>
          <w:ilvl w:val="0"/>
          <w:numId w:val="1"/>
        </w:numPr>
        <w:rPr>
          <w:rFonts w:cstheme="minorHAnsi"/>
          <w:color w:val="000000" w:themeColor="text1"/>
        </w:rPr>
      </w:pPr>
      <w:r w:rsidRPr="00A7391C">
        <w:rPr>
          <w:rFonts w:cstheme="minorHAnsi"/>
          <w:color w:val="000000" w:themeColor="text1"/>
        </w:rPr>
        <w:t xml:space="preserve">Equity-focused objective: </w:t>
      </w:r>
      <w:r w:rsidR="004D5E06">
        <w:rPr>
          <w:rFonts w:cstheme="minorHAnsi"/>
          <w:color w:val="000000" w:themeColor="text1"/>
        </w:rPr>
        <w:t>The plan should include at</w:t>
      </w:r>
      <w:r w:rsidRPr="00A7391C">
        <w:rPr>
          <w:rFonts w:cstheme="minorHAnsi"/>
          <w:color w:val="000000" w:themeColor="text1"/>
        </w:rPr>
        <w:t xml:space="preserve"> least one </w:t>
      </w:r>
      <w:r w:rsidRPr="00A7391C">
        <w:rPr>
          <w:rFonts w:cstheme="minorHAnsi"/>
        </w:rPr>
        <w:t xml:space="preserve">specific and measurable objective </w:t>
      </w:r>
      <w:r w:rsidR="004D5E06">
        <w:rPr>
          <w:rFonts w:cstheme="minorHAnsi"/>
        </w:rPr>
        <w:t>that</w:t>
      </w:r>
      <w:r w:rsidRPr="00A7391C">
        <w:rPr>
          <w:rFonts w:cstheme="minorHAnsi"/>
        </w:rPr>
        <w:t xml:space="preserve"> seek</w:t>
      </w:r>
      <w:r w:rsidR="004D5E06">
        <w:rPr>
          <w:rFonts w:cstheme="minorHAnsi"/>
        </w:rPr>
        <w:t>s</w:t>
      </w:r>
      <w:r w:rsidRPr="00A7391C">
        <w:rPr>
          <w:rFonts w:cstheme="minorHAnsi"/>
        </w:rPr>
        <w:t xml:space="preserve"> to minimize a race, class, language, cultural, disability, gender, or other group-based disparity.</w:t>
      </w:r>
      <w:r w:rsidRPr="00A7391C">
        <w:rPr>
          <w:rFonts w:cstheme="minorHAnsi"/>
          <w:color w:val="000000" w:themeColor="text1"/>
        </w:rPr>
        <w:t xml:space="preserve"> (NELP</w:t>
      </w:r>
      <w:r w:rsidRPr="00A7391C">
        <w:rPr>
          <w:rFonts w:cstheme="minorHAnsi"/>
        </w:rPr>
        <w:t>, 3.3; CAEP A.1.1.c</w:t>
      </w:r>
      <w:r w:rsidRPr="00A7391C">
        <w:rPr>
          <w:rFonts w:cstheme="minorHAnsi"/>
          <w:color w:val="000000" w:themeColor="text1"/>
        </w:rPr>
        <w:t>)</w:t>
      </w:r>
    </w:p>
    <w:p w14:paraId="3C360766" w14:textId="48BB28A8" w:rsidR="008778C8" w:rsidRPr="00A7391C" w:rsidRDefault="008778C8" w:rsidP="008778C8">
      <w:pPr>
        <w:numPr>
          <w:ilvl w:val="0"/>
          <w:numId w:val="1"/>
        </w:numPr>
        <w:rPr>
          <w:rFonts w:cstheme="minorHAnsi"/>
          <w:color w:val="000000" w:themeColor="text1"/>
        </w:rPr>
      </w:pPr>
      <w:r w:rsidRPr="00A7391C">
        <w:rPr>
          <w:rFonts w:cstheme="minorHAnsi"/>
          <w:color w:val="000000" w:themeColor="text1"/>
        </w:rPr>
        <w:t>Assessment: Your plan should include specific summative and formative assessments clearly related to the plan’s objectives. At least one measure must b</w:t>
      </w:r>
      <w:r w:rsidR="004D5E06">
        <w:rPr>
          <w:rFonts w:cstheme="minorHAnsi"/>
          <w:color w:val="000000" w:themeColor="text1"/>
        </w:rPr>
        <w:t>e a</w:t>
      </w:r>
      <w:r w:rsidRPr="00A7391C">
        <w:rPr>
          <w:rFonts w:cstheme="minorHAnsi"/>
          <w:color w:val="000000" w:themeColor="text1"/>
        </w:rPr>
        <w:t xml:space="preserve"> strategy that monitors </w:t>
      </w:r>
      <w:r w:rsidR="004D5E06">
        <w:rPr>
          <w:rFonts w:cstheme="minorHAnsi"/>
          <w:color w:val="000000" w:themeColor="text1"/>
        </w:rPr>
        <w:t xml:space="preserve">the </w:t>
      </w:r>
      <w:r w:rsidRPr="00A7391C">
        <w:rPr>
          <w:rFonts w:cstheme="minorHAnsi"/>
          <w:color w:val="000000" w:themeColor="text1"/>
        </w:rPr>
        <w:t xml:space="preserve">fidelity of teacher implementation (e.g., classroom observation, video, walkthrough tool). (NELP </w:t>
      </w:r>
      <w:r w:rsidRPr="00A7391C">
        <w:rPr>
          <w:rFonts w:cstheme="minorHAnsi"/>
        </w:rPr>
        <w:t xml:space="preserve">7.4; </w:t>
      </w:r>
      <w:r w:rsidRPr="00A7391C">
        <w:rPr>
          <w:rFonts w:cstheme="minorHAnsi"/>
          <w:color w:val="000000" w:themeColor="text1"/>
        </w:rPr>
        <w:t>CAEP A.1.1.b)</w:t>
      </w:r>
    </w:p>
    <w:p w14:paraId="7FC6B994" w14:textId="21782AB5" w:rsidR="008778C8" w:rsidRPr="00A7391C" w:rsidRDefault="008778C8" w:rsidP="008778C8">
      <w:pPr>
        <w:numPr>
          <w:ilvl w:val="0"/>
          <w:numId w:val="1"/>
        </w:numPr>
        <w:rPr>
          <w:rFonts w:cstheme="minorHAnsi"/>
          <w:color w:val="000000" w:themeColor="text1"/>
        </w:rPr>
      </w:pPr>
      <w:r w:rsidRPr="00A7391C">
        <w:rPr>
          <w:rFonts w:cstheme="minorHAnsi"/>
          <w:color w:val="000000" w:themeColor="text1"/>
        </w:rPr>
        <w:t>Action plan</w:t>
      </w:r>
      <w:r w:rsidR="004D5E06">
        <w:rPr>
          <w:rFonts w:cstheme="minorHAnsi"/>
          <w:color w:val="000000" w:themeColor="text1"/>
        </w:rPr>
        <w:t>: Provide detailed steps for</w:t>
      </w:r>
      <w:r w:rsidRPr="00A7391C">
        <w:rPr>
          <w:rFonts w:cstheme="minorHAnsi"/>
          <w:color w:val="000000" w:themeColor="text1"/>
        </w:rPr>
        <w:t xml:space="preserve"> an identified group of participants that outline:</w:t>
      </w:r>
    </w:p>
    <w:p w14:paraId="05CA67B1" w14:textId="05B75B0A" w:rsidR="008778C8" w:rsidRPr="00A7391C" w:rsidRDefault="008778C8" w:rsidP="008778C8">
      <w:pPr>
        <w:numPr>
          <w:ilvl w:val="1"/>
          <w:numId w:val="1"/>
        </w:numPr>
        <w:rPr>
          <w:rFonts w:cstheme="minorHAnsi"/>
          <w:color w:val="000000" w:themeColor="text1"/>
        </w:rPr>
      </w:pPr>
      <w:r w:rsidRPr="00A7391C">
        <w:rPr>
          <w:rFonts w:cstheme="minorHAnsi"/>
          <w:color w:val="000000" w:themeColor="text1"/>
        </w:rPr>
        <w:t xml:space="preserve"> a reasonable timeline for sustained teacher engagement and specif</w:t>
      </w:r>
      <w:r w:rsidR="004D5E06">
        <w:rPr>
          <w:rFonts w:cstheme="minorHAnsi"/>
          <w:color w:val="000000" w:themeColor="text1"/>
        </w:rPr>
        <w:t>ic</w:t>
      </w:r>
      <w:r w:rsidRPr="00A7391C">
        <w:rPr>
          <w:rFonts w:cstheme="minorHAnsi"/>
          <w:color w:val="000000" w:themeColor="text1"/>
        </w:rPr>
        <w:t xml:space="preserve"> resource allocations</w:t>
      </w:r>
      <w:r w:rsidR="004D5E06">
        <w:rPr>
          <w:rFonts w:cstheme="minorHAnsi"/>
          <w:color w:val="000000" w:themeColor="text1"/>
        </w:rPr>
        <w:t xml:space="preserve"> such as</w:t>
      </w:r>
      <w:r w:rsidRPr="00A7391C">
        <w:rPr>
          <w:rFonts w:cstheme="minorHAnsi"/>
          <w:color w:val="000000" w:themeColor="text1"/>
        </w:rPr>
        <w:t xml:space="preserve"> costs, materials, and personnel (NELP 1.2; CAEP A.1.2)</w:t>
      </w:r>
    </w:p>
    <w:p w14:paraId="40F8ADC5" w14:textId="54303B64" w:rsidR="008778C8" w:rsidRPr="00A7391C" w:rsidRDefault="008778C8" w:rsidP="008778C8">
      <w:pPr>
        <w:numPr>
          <w:ilvl w:val="1"/>
          <w:numId w:val="1"/>
        </w:numPr>
        <w:rPr>
          <w:rFonts w:cstheme="minorHAnsi"/>
          <w:color w:val="000000" w:themeColor="text1"/>
        </w:rPr>
      </w:pPr>
      <w:r w:rsidRPr="00A7391C">
        <w:rPr>
          <w:rFonts w:cstheme="minorHAnsi"/>
          <w:color w:val="000000" w:themeColor="text1"/>
        </w:rPr>
        <w:t>a format for professional learning that is likely to engage teachers in</w:t>
      </w:r>
      <w:r w:rsidRPr="00A7391C">
        <w:rPr>
          <w:rFonts w:cstheme="minorHAnsi"/>
        </w:rPr>
        <w:t xml:space="preserve"> a collaborative professional culture </w:t>
      </w:r>
      <w:r w:rsidR="004D5E06">
        <w:rPr>
          <w:rFonts w:cstheme="minorHAnsi"/>
        </w:rPr>
        <w:t>and</w:t>
      </w:r>
      <w:r w:rsidRPr="00A7391C">
        <w:rPr>
          <w:rFonts w:cstheme="minorHAnsi"/>
        </w:rPr>
        <w:t xml:space="preserve"> incorporat</w:t>
      </w:r>
      <w:r w:rsidR="004D5E06">
        <w:rPr>
          <w:rFonts w:cstheme="minorHAnsi"/>
        </w:rPr>
        <w:t>es</w:t>
      </w:r>
      <w:r w:rsidRPr="00A7391C">
        <w:rPr>
          <w:rFonts w:cstheme="minorHAnsi"/>
        </w:rPr>
        <w:t xml:space="preserve"> at least one of the following: high levels of peer interaction, teacher inquiry, or a teacher- or student-identified focus. </w:t>
      </w:r>
      <w:r w:rsidRPr="00A7391C">
        <w:rPr>
          <w:rFonts w:cstheme="minorHAnsi"/>
          <w:color w:val="000000" w:themeColor="text1"/>
        </w:rPr>
        <w:t xml:space="preserve">(NELP </w:t>
      </w:r>
      <w:r w:rsidRPr="00A7391C">
        <w:rPr>
          <w:rFonts w:cstheme="minorHAnsi"/>
        </w:rPr>
        <w:t xml:space="preserve">7.2; </w:t>
      </w:r>
      <w:r w:rsidRPr="00A7391C">
        <w:rPr>
          <w:rFonts w:cstheme="minorHAnsi"/>
          <w:color w:val="000000" w:themeColor="text1"/>
        </w:rPr>
        <w:t>CAEP A.1.1.d)</w:t>
      </w:r>
    </w:p>
    <w:p w14:paraId="1F2F2873" w14:textId="6072DB92" w:rsidR="008778C8" w:rsidRPr="00A7391C" w:rsidRDefault="008778C8" w:rsidP="008778C8">
      <w:pPr>
        <w:numPr>
          <w:ilvl w:val="1"/>
          <w:numId w:val="1"/>
        </w:numPr>
        <w:rPr>
          <w:rFonts w:cstheme="minorHAnsi"/>
          <w:color w:val="000000" w:themeColor="text1"/>
        </w:rPr>
      </w:pPr>
      <w:r w:rsidRPr="00A7391C">
        <w:rPr>
          <w:rFonts w:cstheme="minorHAnsi"/>
        </w:rPr>
        <w:t xml:space="preserve">activities </w:t>
      </w:r>
      <w:r w:rsidR="004D5E06">
        <w:rPr>
          <w:rFonts w:cstheme="minorHAnsi"/>
        </w:rPr>
        <w:t xml:space="preserve">that </w:t>
      </w:r>
      <w:r w:rsidRPr="00A7391C">
        <w:rPr>
          <w:rFonts w:cstheme="minorHAnsi"/>
        </w:rPr>
        <w:t>are explicitly connected to the stated objectives</w:t>
      </w:r>
      <w:r w:rsidR="004D5E06">
        <w:rPr>
          <w:rFonts w:cstheme="minorHAnsi"/>
        </w:rPr>
        <w:t>,</w:t>
      </w:r>
      <w:r w:rsidRPr="00A7391C">
        <w:rPr>
          <w:rFonts w:cstheme="minorHAnsi"/>
        </w:rPr>
        <w:t xml:space="preserve"> </w:t>
      </w:r>
      <w:r w:rsidR="004D5E06">
        <w:rPr>
          <w:rFonts w:cstheme="minorHAnsi"/>
        </w:rPr>
        <w:t>include the application of</w:t>
      </w:r>
      <w:r w:rsidRPr="00A7391C">
        <w:rPr>
          <w:rFonts w:cstheme="minorHAnsi"/>
        </w:rPr>
        <w:t xml:space="preserve"> culturally responsive practices</w:t>
      </w:r>
      <w:r w:rsidR="004D5E06">
        <w:rPr>
          <w:rFonts w:cstheme="minorHAnsi"/>
        </w:rPr>
        <w:t>,</w:t>
      </w:r>
      <w:r w:rsidRPr="00A7391C">
        <w:rPr>
          <w:rFonts w:cstheme="minorHAnsi"/>
        </w:rPr>
        <w:t xml:space="preserve"> and </w:t>
      </w:r>
      <w:r w:rsidR="004D5E06" w:rsidRPr="00A7391C">
        <w:rPr>
          <w:rFonts w:cstheme="minorHAnsi"/>
        </w:rPr>
        <w:t xml:space="preserve">provide opportunities for teachers </w:t>
      </w:r>
      <w:r w:rsidRPr="00A7391C">
        <w:rPr>
          <w:rFonts w:cstheme="minorHAnsi"/>
        </w:rPr>
        <w:t>reflect on their learning.</w:t>
      </w:r>
      <w:r w:rsidRPr="00A7391C">
        <w:rPr>
          <w:rFonts w:cstheme="minorHAnsi"/>
          <w:color w:val="000000" w:themeColor="text1"/>
        </w:rPr>
        <w:t xml:space="preserve"> (NELP </w:t>
      </w:r>
      <w:r w:rsidRPr="00A7391C">
        <w:rPr>
          <w:rFonts w:cstheme="minorHAnsi"/>
        </w:rPr>
        <w:t xml:space="preserve">7.3; </w:t>
      </w:r>
      <w:r w:rsidRPr="00A7391C">
        <w:rPr>
          <w:rFonts w:cstheme="minorHAnsi"/>
          <w:color w:val="000000" w:themeColor="text1"/>
        </w:rPr>
        <w:t>CAEP A.1.1.f</w:t>
      </w:r>
      <w:r w:rsidRPr="00A7391C">
        <w:rPr>
          <w:rFonts w:cstheme="minorHAnsi"/>
        </w:rPr>
        <w:t>)</w:t>
      </w:r>
    </w:p>
    <w:p w14:paraId="6F2F7AFF" w14:textId="77777777" w:rsidR="008778C8" w:rsidRPr="00A7391C" w:rsidRDefault="008778C8" w:rsidP="008778C8">
      <w:pPr>
        <w:jc w:val="both"/>
        <w:rPr>
          <w:rFonts w:cstheme="minorHAnsi"/>
          <w:color w:val="000000" w:themeColor="text1"/>
        </w:rPr>
      </w:pPr>
    </w:p>
    <w:p w14:paraId="0B8E83D3" w14:textId="77777777" w:rsidR="008778C8" w:rsidRPr="00A7391C" w:rsidRDefault="008778C8" w:rsidP="008778C8">
      <w:pPr>
        <w:rPr>
          <w:rFonts w:cstheme="minorHAnsi"/>
          <w:b/>
        </w:rPr>
      </w:pPr>
    </w:p>
    <w:p w14:paraId="7563DA70" w14:textId="77777777" w:rsidR="008778C8" w:rsidRPr="00A7391C" w:rsidRDefault="008778C8" w:rsidP="008778C8">
      <w:pPr>
        <w:rPr>
          <w:rFonts w:cstheme="minorHAnsi"/>
          <w:b/>
        </w:rPr>
      </w:pPr>
    </w:p>
    <w:p w14:paraId="12C00203" w14:textId="77777777" w:rsidR="008778C8" w:rsidRPr="00A7391C" w:rsidRDefault="008778C8" w:rsidP="008778C8">
      <w:pPr>
        <w:rPr>
          <w:rFonts w:cstheme="minorHAnsi"/>
          <w:b/>
        </w:rPr>
      </w:pPr>
      <w:r w:rsidRPr="00A7391C">
        <w:rPr>
          <w:rFonts w:cstheme="minorHAnsi"/>
          <w:b/>
        </w:rPr>
        <w:t>Assignment format</w:t>
      </w:r>
    </w:p>
    <w:p w14:paraId="6B19E25D" w14:textId="77777777" w:rsidR="008778C8" w:rsidRDefault="008778C8" w:rsidP="008778C8">
      <w:pPr>
        <w:rPr>
          <w:rFonts w:cstheme="minorHAnsi"/>
        </w:rPr>
      </w:pPr>
      <w:r w:rsidRPr="00A7391C">
        <w:rPr>
          <w:rFonts w:cstheme="minorHAnsi"/>
        </w:rPr>
        <w:t xml:space="preserve">The assignment includes narrative text with tables to highlight details of the plan. The assignment should be about 6 to 8 pages. Please use a 12-point font and APA style citations to support your work. </w:t>
      </w:r>
    </w:p>
    <w:p w14:paraId="5B0DE93E" w14:textId="77777777" w:rsidR="008778C8" w:rsidRDefault="008778C8" w:rsidP="008778C8">
      <w:pPr>
        <w:jc w:val="both"/>
        <w:rPr>
          <w:rFonts w:cstheme="minorHAnsi"/>
          <w:b/>
          <w:bCs/>
        </w:rPr>
      </w:pPr>
    </w:p>
    <w:p w14:paraId="3FB9D93F" w14:textId="77777777" w:rsidR="008778C8" w:rsidRPr="00A7391C" w:rsidRDefault="008778C8" w:rsidP="008778C8">
      <w:pPr>
        <w:jc w:val="both"/>
        <w:rPr>
          <w:rFonts w:cstheme="minorHAnsi"/>
          <w:b/>
          <w:bCs/>
        </w:rPr>
      </w:pPr>
      <w:r w:rsidRPr="00A7391C">
        <w:rPr>
          <w:rFonts w:cstheme="minorHAnsi"/>
          <w:b/>
          <w:bCs/>
        </w:rPr>
        <w:t>f. Scoring Rubric</w:t>
      </w:r>
    </w:p>
    <w:p w14:paraId="57D02B0A" w14:textId="77777777" w:rsidR="008778C8" w:rsidRPr="00A7391C" w:rsidRDefault="008778C8" w:rsidP="008778C8">
      <w:pPr>
        <w:pStyle w:val="Heading3"/>
        <w:spacing w:before="0"/>
        <w:jc w:val="center"/>
        <w:rPr>
          <w:rFonts w:asciiTheme="minorHAnsi" w:hAnsiTheme="minorHAnsi" w:cstheme="minorHAnsi"/>
          <w:color w:val="000000" w:themeColor="text1"/>
        </w:rPr>
      </w:pPr>
      <w:r w:rsidRPr="00A7391C">
        <w:rPr>
          <w:rFonts w:asciiTheme="minorHAnsi" w:hAnsiTheme="minorHAnsi" w:cstheme="minorHAnsi"/>
          <w:color w:val="000000" w:themeColor="text1"/>
        </w:rPr>
        <w:t>Professional Development Project</w:t>
      </w:r>
      <w:r>
        <w:rPr>
          <w:rFonts w:asciiTheme="minorHAnsi" w:hAnsiTheme="minorHAnsi" w:cstheme="minorHAnsi"/>
          <w:color w:val="000000" w:themeColor="text1"/>
        </w:rPr>
        <w:t xml:space="preserve"> </w:t>
      </w:r>
      <w:r w:rsidRPr="00A7391C">
        <w:rPr>
          <w:rFonts w:asciiTheme="minorHAnsi" w:hAnsiTheme="minorHAnsi" w:cstheme="minorHAnsi"/>
          <w:color w:val="000000" w:themeColor="text1"/>
        </w:rPr>
        <w:t>Grading Rubric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2404"/>
        <w:gridCol w:w="2511"/>
        <w:gridCol w:w="2518"/>
      </w:tblGrid>
      <w:tr w:rsidR="008778C8" w:rsidRPr="00A7391C" w14:paraId="7F136338" w14:textId="77777777" w:rsidTr="00B91F97">
        <w:tc>
          <w:tcPr>
            <w:tcW w:w="1927" w:type="dxa"/>
          </w:tcPr>
          <w:p w14:paraId="681000B6" w14:textId="77777777" w:rsidR="008778C8" w:rsidRPr="00A7391C" w:rsidRDefault="008778C8" w:rsidP="00B91F97">
            <w:pPr>
              <w:pStyle w:val="Heading6"/>
              <w:keepNext w:val="0"/>
              <w:keepLines w:val="0"/>
              <w:spacing w:before="0" w:line="240" w:lineRule="auto"/>
              <w:rPr>
                <w:rFonts w:asciiTheme="minorHAnsi" w:hAnsiTheme="minorHAnsi" w:cstheme="minorHAnsi"/>
                <w:color w:val="000000" w:themeColor="text1"/>
                <w:sz w:val="24"/>
                <w:szCs w:val="24"/>
              </w:rPr>
            </w:pPr>
            <w:r w:rsidRPr="00A7391C">
              <w:rPr>
                <w:rFonts w:asciiTheme="minorHAnsi" w:hAnsiTheme="minorHAnsi" w:cstheme="minorHAnsi"/>
                <w:b/>
                <w:bCs/>
                <w:color w:val="000000" w:themeColor="text1"/>
                <w:sz w:val="24"/>
                <w:szCs w:val="24"/>
              </w:rPr>
              <w:t>Components</w:t>
            </w:r>
          </w:p>
        </w:tc>
        <w:tc>
          <w:tcPr>
            <w:tcW w:w="2404" w:type="dxa"/>
          </w:tcPr>
          <w:p w14:paraId="48F83D67" w14:textId="77777777" w:rsidR="008778C8" w:rsidRPr="00A7391C" w:rsidRDefault="008778C8" w:rsidP="00B91F97">
            <w:pPr>
              <w:rPr>
                <w:rFonts w:cstheme="minorHAnsi"/>
                <w:color w:val="000000" w:themeColor="text1"/>
              </w:rPr>
            </w:pPr>
            <w:r w:rsidRPr="00A7391C">
              <w:rPr>
                <w:rFonts w:cstheme="minorHAnsi"/>
                <w:b/>
                <w:bCs/>
                <w:color w:val="000000" w:themeColor="text1"/>
              </w:rPr>
              <w:t>Unacceptable (1)</w:t>
            </w:r>
          </w:p>
        </w:tc>
        <w:tc>
          <w:tcPr>
            <w:tcW w:w="2511" w:type="dxa"/>
          </w:tcPr>
          <w:p w14:paraId="765878D9" w14:textId="77777777" w:rsidR="008778C8" w:rsidRPr="00A7391C" w:rsidRDefault="008778C8" w:rsidP="00B91F97">
            <w:pPr>
              <w:rPr>
                <w:rFonts w:cstheme="minorHAnsi"/>
                <w:color w:val="000000" w:themeColor="text1"/>
              </w:rPr>
            </w:pPr>
            <w:r w:rsidRPr="00A7391C">
              <w:rPr>
                <w:rFonts w:cstheme="minorHAnsi"/>
                <w:b/>
                <w:bCs/>
                <w:color w:val="000000" w:themeColor="text1"/>
              </w:rPr>
              <w:t>Acceptable (3)</w:t>
            </w:r>
          </w:p>
        </w:tc>
        <w:tc>
          <w:tcPr>
            <w:tcW w:w="2518" w:type="dxa"/>
          </w:tcPr>
          <w:p w14:paraId="3B211445" w14:textId="77777777" w:rsidR="008778C8" w:rsidRPr="00A7391C" w:rsidRDefault="008778C8" w:rsidP="00B91F97">
            <w:pPr>
              <w:rPr>
                <w:rFonts w:cstheme="minorHAnsi"/>
                <w:color w:val="000000" w:themeColor="text1"/>
              </w:rPr>
            </w:pPr>
            <w:r w:rsidRPr="00A7391C">
              <w:rPr>
                <w:rFonts w:cstheme="minorHAnsi"/>
                <w:b/>
                <w:bCs/>
                <w:color w:val="000000" w:themeColor="text1"/>
              </w:rPr>
              <w:t>Target (4)</w:t>
            </w:r>
          </w:p>
        </w:tc>
      </w:tr>
      <w:tr w:rsidR="008778C8" w:rsidRPr="00A7391C" w14:paraId="19C56D80" w14:textId="77777777" w:rsidTr="00B91F97">
        <w:tc>
          <w:tcPr>
            <w:tcW w:w="1927" w:type="dxa"/>
          </w:tcPr>
          <w:p w14:paraId="25D2587A" w14:textId="77777777" w:rsidR="008778C8" w:rsidRPr="001A0612" w:rsidRDefault="008778C8" w:rsidP="00B91F97">
            <w:pPr>
              <w:pStyle w:val="Heading6"/>
              <w:keepNext w:val="0"/>
              <w:keepLines w:val="0"/>
              <w:spacing w:before="0" w:line="240" w:lineRule="auto"/>
              <w:rPr>
                <w:rFonts w:asciiTheme="minorHAnsi" w:hAnsiTheme="minorHAnsi" w:cstheme="minorHAnsi"/>
                <w:color w:val="000000" w:themeColor="text1"/>
                <w:sz w:val="24"/>
                <w:szCs w:val="24"/>
              </w:rPr>
            </w:pPr>
            <w:r w:rsidRPr="001A0612">
              <w:rPr>
                <w:rFonts w:asciiTheme="minorHAnsi" w:hAnsiTheme="minorHAnsi" w:cstheme="minorHAnsi"/>
                <w:color w:val="000000" w:themeColor="text1"/>
                <w:sz w:val="24"/>
                <w:szCs w:val="24"/>
              </w:rPr>
              <w:t>Data Supported</w:t>
            </w:r>
          </w:p>
          <w:p w14:paraId="119900FD" w14:textId="77777777" w:rsidR="008778C8" w:rsidRPr="001A0612" w:rsidRDefault="008778C8" w:rsidP="00B91F97">
            <w:pPr>
              <w:rPr>
                <w:rFonts w:cstheme="minorHAnsi"/>
                <w:color w:val="000000" w:themeColor="text1"/>
              </w:rPr>
            </w:pPr>
            <w:r w:rsidRPr="001A0612">
              <w:rPr>
                <w:rFonts w:cstheme="minorHAnsi"/>
                <w:color w:val="000000" w:themeColor="text1"/>
              </w:rPr>
              <w:t>Rationale</w:t>
            </w:r>
          </w:p>
          <w:p w14:paraId="35C79405" w14:textId="77777777" w:rsidR="008778C8" w:rsidRPr="001A0612" w:rsidRDefault="008778C8" w:rsidP="00B91F97">
            <w:pPr>
              <w:rPr>
                <w:rFonts w:cstheme="minorHAnsi"/>
                <w:color w:val="000000" w:themeColor="text1"/>
              </w:rPr>
            </w:pPr>
          </w:p>
          <w:p w14:paraId="448660CD" w14:textId="77777777" w:rsidR="008778C8" w:rsidRPr="001A0612" w:rsidRDefault="008778C8" w:rsidP="00B91F97">
            <w:pPr>
              <w:rPr>
                <w:rFonts w:cstheme="minorHAnsi"/>
                <w:color w:val="000000" w:themeColor="text1"/>
              </w:rPr>
            </w:pPr>
            <w:r w:rsidRPr="001A0612">
              <w:rPr>
                <w:rFonts w:cstheme="minorHAnsi"/>
                <w:color w:val="000000" w:themeColor="text1"/>
              </w:rPr>
              <w:t>NELP 6.2</w:t>
            </w:r>
          </w:p>
          <w:p w14:paraId="723C8245" w14:textId="77777777" w:rsidR="008778C8" w:rsidRPr="001A0612" w:rsidRDefault="008778C8" w:rsidP="00B91F97">
            <w:pPr>
              <w:rPr>
                <w:rFonts w:cstheme="minorHAnsi"/>
                <w:color w:val="000000" w:themeColor="text1"/>
              </w:rPr>
            </w:pPr>
          </w:p>
        </w:tc>
        <w:tc>
          <w:tcPr>
            <w:tcW w:w="2404" w:type="dxa"/>
          </w:tcPr>
          <w:p w14:paraId="165E7D31" w14:textId="77777777" w:rsidR="008778C8" w:rsidRPr="00A7391C" w:rsidRDefault="008778C8" w:rsidP="00B91F97">
            <w:pPr>
              <w:rPr>
                <w:rFonts w:cstheme="minorHAnsi"/>
                <w:color w:val="000000" w:themeColor="text1"/>
              </w:rPr>
            </w:pPr>
            <w:r w:rsidRPr="00A7391C">
              <w:rPr>
                <w:rFonts w:cstheme="minorHAnsi"/>
                <w:color w:val="000000" w:themeColor="text1"/>
              </w:rPr>
              <w:t>Little or no data informs the professional development project.  Data, analysis, and interpretation are missing or inaccurate.</w:t>
            </w:r>
          </w:p>
        </w:tc>
        <w:tc>
          <w:tcPr>
            <w:tcW w:w="2511" w:type="dxa"/>
          </w:tcPr>
          <w:p w14:paraId="41F57879" w14:textId="77777777" w:rsidR="008778C8" w:rsidRPr="00A7391C" w:rsidRDefault="008778C8" w:rsidP="00B91F97">
            <w:pPr>
              <w:rPr>
                <w:rFonts w:cstheme="minorHAnsi"/>
                <w:color w:val="000000" w:themeColor="text1"/>
              </w:rPr>
            </w:pPr>
            <w:r w:rsidRPr="00A7391C">
              <w:rPr>
                <w:rFonts w:cstheme="minorHAnsi"/>
                <w:color w:val="000000" w:themeColor="text1"/>
              </w:rPr>
              <w:t xml:space="preserve">Includes a data-informed rationale. Analysis is based on one data source related to teacher instructional needs, student achievement, or student wellness. The interpretation is accurate.  </w:t>
            </w:r>
          </w:p>
        </w:tc>
        <w:tc>
          <w:tcPr>
            <w:tcW w:w="2518" w:type="dxa"/>
          </w:tcPr>
          <w:p w14:paraId="011B923A" w14:textId="77777777" w:rsidR="008778C8" w:rsidRPr="00A7391C" w:rsidRDefault="008778C8" w:rsidP="00B91F97">
            <w:pPr>
              <w:rPr>
                <w:rFonts w:cstheme="minorHAnsi"/>
                <w:color w:val="000000" w:themeColor="text1"/>
              </w:rPr>
            </w:pPr>
            <w:r w:rsidRPr="00A7391C">
              <w:rPr>
                <w:rFonts w:cstheme="minorHAnsi"/>
                <w:color w:val="000000" w:themeColor="text1"/>
              </w:rPr>
              <w:t xml:space="preserve">Includes a well-articulated and data-informed rationale. Analysis is based on more than one authentic data source related to teacher instructional needs, student achievement, or student wellness. The interpretation is accurate, comprehensive, and in-depth.  </w:t>
            </w:r>
          </w:p>
        </w:tc>
      </w:tr>
      <w:tr w:rsidR="008778C8" w:rsidRPr="00A7391C" w14:paraId="00E57C71" w14:textId="77777777" w:rsidTr="00B91F97">
        <w:tc>
          <w:tcPr>
            <w:tcW w:w="1927" w:type="dxa"/>
          </w:tcPr>
          <w:p w14:paraId="46068458" w14:textId="77777777" w:rsidR="008778C8" w:rsidRPr="001A0612" w:rsidRDefault="008778C8" w:rsidP="00B91F97">
            <w:pPr>
              <w:pStyle w:val="Heading6"/>
              <w:keepNext w:val="0"/>
              <w:keepLines w:val="0"/>
              <w:spacing w:before="0" w:line="240" w:lineRule="auto"/>
              <w:rPr>
                <w:rFonts w:asciiTheme="minorHAnsi" w:hAnsiTheme="minorHAnsi" w:cstheme="minorHAnsi"/>
                <w:color w:val="000000" w:themeColor="text1"/>
                <w:sz w:val="24"/>
                <w:szCs w:val="24"/>
              </w:rPr>
            </w:pPr>
            <w:r w:rsidRPr="001A0612">
              <w:rPr>
                <w:rFonts w:asciiTheme="minorHAnsi" w:hAnsiTheme="minorHAnsi" w:cstheme="minorHAnsi"/>
                <w:color w:val="000000" w:themeColor="text1"/>
                <w:sz w:val="24"/>
                <w:szCs w:val="24"/>
              </w:rPr>
              <w:t>Equity-focused objective</w:t>
            </w:r>
          </w:p>
          <w:p w14:paraId="030FF5D5" w14:textId="77777777" w:rsidR="008778C8" w:rsidRPr="001A0612" w:rsidRDefault="008778C8" w:rsidP="00B91F97">
            <w:pPr>
              <w:rPr>
                <w:rFonts w:cstheme="minorHAnsi"/>
              </w:rPr>
            </w:pPr>
          </w:p>
          <w:p w14:paraId="16569DAF" w14:textId="77777777" w:rsidR="008778C8" w:rsidRPr="001A0612" w:rsidRDefault="008778C8" w:rsidP="00B91F97">
            <w:pPr>
              <w:rPr>
                <w:rFonts w:cstheme="minorHAnsi"/>
              </w:rPr>
            </w:pPr>
            <w:r w:rsidRPr="001A0612">
              <w:rPr>
                <w:rFonts w:cstheme="minorHAnsi"/>
              </w:rPr>
              <w:t>NELP 3.3</w:t>
            </w:r>
          </w:p>
          <w:p w14:paraId="13EC09FC" w14:textId="77777777" w:rsidR="008778C8" w:rsidRPr="001A0612" w:rsidRDefault="008778C8" w:rsidP="00B91F97">
            <w:pPr>
              <w:rPr>
                <w:rFonts w:cstheme="minorHAnsi"/>
              </w:rPr>
            </w:pPr>
          </w:p>
        </w:tc>
        <w:tc>
          <w:tcPr>
            <w:tcW w:w="2404" w:type="dxa"/>
          </w:tcPr>
          <w:p w14:paraId="6147D6FF" w14:textId="77777777" w:rsidR="008778C8" w:rsidRPr="00A7391C" w:rsidRDefault="008778C8" w:rsidP="00B91F97">
            <w:pPr>
              <w:rPr>
                <w:rFonts w:cstheme="minorHAnsi"/>
                <w:color w:val="000000" w:themeColor="text1"/>
              </w:rPr>
            </w:pPr>
            <w:r w:rsidRPr="00A7391C">
              <w:rPr>
                <w:rFonts w:cstheme="minorHAnsi"/>
                <w:color w:val="000000" w:themeColor="text1"/>
              </w:rPr>
              <w:t>No objectives address group-based disparities.</w:t>
            </w:r>
          </w:p>
        </w:tc>
        <w:tc>
          <w:tcPr>
            <w:tcW w:w="2511" w:type="dxa"/>
          </w:tcPr>
          <w:p w14:paraId="1C0FD54C" w14:textId="77777777" w:rsidR="008778C8" w:rsidRPr="00A7391C" w:rsidRDefault="008778C8" w:rsidP="00B91F97">
            <w:pPr>
              <w:autoSpaceDE w:val="0"/>
              <w:autoSpaceDN w:val="0"/>
              <w:adjustRightInd w:val="0"/>
              <w:rPr>
                <w:rFonts w:cstheme="minorHAnsi"/>
              </w:rPr>
            </w:pPr>
            <w:r w:rsidRPr="00A7391C">
              <w:rPr>
                <w:rFonts w:cstheme="minorHAnsi"/>
              </w:rPr>
              <w:t>At least one specific and measurable objective seeks to minimize a race, class, language, cultural, disability, gender, or other group-based disparity.</w:t>
            </w:r>
          </w:p>
          <w:p w14:paraId="2676843A" w14:textId="77777777" w:rsidR="008778C8" w:rsidRPr="00A7391C" w:rsidRDefault="008778C8" w:rsidP="00B91F97">
            <w:pPr>
              <w:rPr>
                <w:rFonts w:cstheme="minorHAnsi"/>
                <w:color w:val="000000" w:themeColor="text1"/>
              </w:rPr>
            </w:pPr>
          </w:p>
        </w:tc>
        <w:tc>
          <w:tcPr>
            <w:tcW w:w="2518" w:type="dxa"/>
          </w:tcPr>
          <w:p w14:paraId="4E7A166F" w14:textId="0D5E2351" w:rsidR="008778C8" w:rsidRPr="00A7391C" w:rsidRDefault="008778C8" w:rsidP="00B91F97">
            <w:pPr>
              <w:autoSpaceDE w:val="0"/>
              <w:autoSpaceDN w:val="0"/>
              <w:adjustRightInd w:val="0"/>
              <w:rPr>
                <w:rFonts w:cstheme="minorHAnsi"/>
              </w:rPr>
            </w:pPr>
            <w:r w:rsidRPr="00A7391C">
              <w:rPr>
                <w:rFonts w:cstheme="minorHAnsi"/>
              </w:rPr>
              <w:t>At least one specific and measurable objective seeks to minimize race, class, language, cultural, disability, gender, or other group-based disparities.</w:t>
            </w:r>
          </w:p>
          <w:p w14:paraId="3CBB84E1" w14:textId="77777777" w:rsidR="008778C8" w:rsidRPr="00A7391C" w:rsidRDefault="008778C8" w:rsidP="00B91F97">
            <w:pPr>
              <w:autoSpaceDE w:val="0"/>
              <w:autoSpaceDN w:val="0"/>
              <w:adjustRightInd w:val="0"/>
              <w:rPr>
                <w:rFonts w:cstheme="minorHAnsi"/>
              </w:rPr>
            </w:pPr>
            <w:r w:rsidRPr="00A7391C">
              <w:rPr>
                <w:rFonts w:cstheme="minorHAnsi"/>
                <w:color w:val="000000" w:themeColor="text1"/>
              </w:rPr>
              <w:t>Evidence indicates the plan was implemented in a school setting.</w:t>
            </w:r>
          </w:p>
        </w:tc>
      </w:tr>
      <w:tr w:rsidR="008778C8" w:rsidRPr="00A7391C" w14:paraId="7D1396C9" w14:textId="77777777" w:rsidTr="00B91F97">
        <w:tc>
          <w:tcPr>
            <w:tcW w:w="1927" w:type="dxa"/>
          </w:tcPr>
          <w:p w14:paraId="7EE3A036" w14:textId="77777777" w:rsidR="008778C8" w:rsidRPr="001A0612" w:rsidRDefault="008778C8" w:rsidP="00B91F97">
            <w:pPr>
              <w:pStyle w:val="Heading6"/>
              <w:keepNext w:val="0"/>
              <w:keepLines w:val="0"/>
              <w:spacing w:before="0" w:line="240" w:lineRule="auto"/>
              <w:rPr>
                <w:rFonts w:asciiTheme="minorHAnsi" w:hAnsiTheme="minorHAnsi" w:cstheme="minorHAnsi"/>
                <w:color w:val="000000" w:themeColor="text1"/>
                <w:sz w:val="24"/>
                <w:szCs w:val="24"/>
              </w:rPr>
            </w:pPr>
            <w:r w:rsidRPr="001A0612">
              <w:rPr>
                <w:rFonts w:asciiTheme="minorHAnsi" w:hAnsiTheme="minorHAnsi" w:cstheme="minorHAnsi"/>
                <w:color w:val="000000" w:themeColor="text1"/>
                <w:sz w:val="24"/>
                <w:szCs w:val="24"/>
              </w:rPr>
              <w:t>Assessment</w:t>
            </w:r>
          </w:p>
          <w:p w14:paraId="7D863B6A" w14:textId="77777777" w:rsidR="008778C8" w:rsidRPr="001A0612" w:rsidRDefault="008778C8" w:rsidP="00B91F97">
            <w:pPr>
              <w:rPr>
                <w:rFonts w:cstheme="minorHAnsi"/>
                <w:color w:val="000000" w:themeColor="text1"/>
              </w:rPr>
            </w:pPr>
          </w:p>
          <w:p w14:paraId="21A24A5F" w14:textId="77777777" w:rsidR="008778C8" w:rsidRPr="001A0612" w:rsidRDefault="008778C8" w:rsidP="00B91F97">
            <w:pPr>
              <w:rPr>
                <w:rFonts w:cstheme="minorHAnsi"/>
                <w:color w:val="000000" w:themeColor="text1"/>
              </w:rPr>
            </w:pPr>
            <w:r w:rsidRPr="001A0612">
              <w:rPr>
                <w:rFonts w:cstheme="minorHAnsi"/>
                <w:color w:val="000000" w:themeColor="text1"/>
              </w:rPr>
              <w:t>NELP 7.4</w:t>
            </w:r>
          </w:p>
          <w:p w14:paraId="6A0BD189" w14:textId="77777777" w:rsidR="008778C8" w:rsidRPr="001A0612" w:rsidRDefault="008778C8" w:rsidP="00B91F97">
            <w:pPr>
              <w:rPr>
                <w:rFonts w:cstheme="minorHAnsi"/>
                <w:color w:val="000000" w:themeColor="text1"/>
              </w:rPr>
            </w:pPr>
          </w:p>
        </w:tc>
        <w:tc>
          <w:tcPr>
            <w:tcW w:w="2404" w:type="dxa"/>
          </w:tcPr>
          <w:p w14:paraId="6272695B" w14:textId="77777777" w:rsidR="008778C8" w:rsidRPr="00A7391C" w:rsidRDefault="008778C8" w:rsidP="00B91F97">
            <w:pPr>
              <w:rPr>
                <w:rFonts w:cstheme="minorHAnsi"/>
                <w:color w:val="000000" w:themeColor="text1"/>
              </w:rPr>
            </w:pPr>
            <w:r w:rsidRPr="00A7391C">
              <w:rPr>
                <w:rFonts w:cstheme="minorHAnsi"/>
                <w:color w:val="000000" w:themeColor="text1"/>
              </w:rPr>
              <w:t>Assessments are missing or insufficiently connected to stated objectives.</w:t>
            </w:r>
          </w:p>
        </w:tc>
        <w:tc>
          <w:tcPr>
            <w:tcW w:w="2511" w:type="dxa"/>
          </w:tcPr>
          <w:p w14:paraId="5A40BA2C" w14:textId="77777777" w:rsidR="008778C8" w:rsidRPr="00A7391C" w:rsidRDefault="008778C8" w:rsidP="00B91F97">
            <w:pPr>
              <w:rPr>
                <w:rFonts w:cstheme="minorHAnsi"/>
                <w:color w:val="000000" w:themeColor="text1"/>
              </w:rPr>
            </w:pPr>
            <w:r w:rsidRPr="00A7391C">
              <w:rPr>
                <w:rFonts w:cstheme="minorHAnsi"/>
                <w:color w:val="000000" w:themeColor="text1"/>
              </w:rPr>
              <w:t xml:space="preserve">The plan of action includes specific summative and formative assessments clearly related to the plan’s objectives. At least one measure is a supervisory strategy to monitor fidelity of </w:t>
            </w:r>
            <w:r w:rsidRPr="00A7391C">
              <w:rPr>
                <w:rFonts w:cstheme="minorHAnsi"/>
                <w:color w:val="000000" w:themeColor="text1"/>
              </w:rPr>
              <w:lastRenderedPageBreak/>
              <w:t>teacher implementation.</w:t>
            </w:r>
          </w:p>
        </w:tc>
        <w:tc>
          <w:tcPr>
            <w:tcW w:w="2518" w:type="dxa"/>
          </w:tcPr>
          <w:p w14:paraId="00331C54" w14:textId="0CC8C5EF" w:rsidR="008778C8" w:rsidRPr="00A7391C" w:rsidRDefault="008778C8" w:rsidP="00B91F97">
            <w:pPr>
              <w:rPr>
                <w:rFonts w:cstheme="minorHAnsi"/>
                <w:color w:val="000000" w:themeColor="text1"/>
              </w:rPr>
            </w:pPr>
            <w:r w:rsidRPr="00A7391C">
              <w:rPr>
                <w:rFonts w:cstheme="minorHAnsi"/>
                <w:color w:val="000000" w:themeColor="text1"/>
              </w:rPr>
              <w:lastRenderedPageBreak/>
              <w:t xml:space="preserve">The plan of action includes specific summative and formative assessments clearly related to the plan’s objectives. At least one measure is a supervisory strategy to monitor fidelity of </w:t>
            </w:r>
            <w:r w:rsidRPr="00A7391C">
              <w:rPr>
                <w:rFonts w:cstheme="minorHAnsi"/>
                <w:color w:val="000000" w:themeColor="text1"/>
              </w:rPr>
              <w:lastRenderedPageBreak/>
              <w:t>teacher implementation.</w:t>
            </w:r>
          </w:p>
          <w:p w14:paraId="43D27D09" w14:textId="77777777" w:rsidR="008778C8" w:rsidRPr="00A7391C" w:rsidRDefault="008778C8" w:rsidP="00B91F97">
            <w:pPr>
              <w:rPr>
                <w:rFonts w:cstheme="minorHAnsi"/>
                <w:color w:val="000000" w:themeColor="text1"/>
              </w:rPr>
            </w:pPr>
            <w:r w:rsidRPr="00A7391C">
              <w:rPr>
                <w:rFonts w:cstheme="minorHAnsi"/>
                <w:color w:val="000000" w:themeColor="text1"/>
              </w:rPr>
              <w:t>Evidence indicates the plan was implemented in a school setting.</w:t>
            </w:r>
          </w:p>
        </w:tc>
      </w:tr>
      <w:tr w:rsidR="008778C8" w:rsidRPr="00A7391C" w14:paraId="5F99E50A" w14:textId="77777777" w:rsidTr="00B91F97">
        <w:tc>
          <w:tcPr>
            <w:tcW w:w="1927" w:type="dxa"/>
          </w:tcPr>
          <w:p w14:paraId="738CA769" w14:textId="77777777" w:rsidR="008778C8" w:rsidRPr="001A0612" w:rsidRDefault="008778C8" w:rsidP="00B91F97">
            <w:pPr>
              <w:rPr>
                <w:rFonts w:cstheme="minorHAnsi"/>
                <w:color w:val="000000" w:themeColor="text1"/>
              </w:rPr>
            </w:pPr>
            <w:r w:rsidRPr="001A0612">
              <w:rPr>
                <w:rFonts w:cstheme="minorHAnsi"/>
                <w:color w:val="000000" w:themeColor="text1"/>
              </w:rPr>
              <w:lastRenderedPageBreak/>
              <w:t>Action plan</w:t>
            </w:r>
          </w:p>
          <w:p w14:paraId="75FF53DD" w14:textId="77777777" w:rsidR="008778C8" w:rsidRPr="001A0612" w:rsidRDefault="008778C8" w:rsidP="00B91F97">
            <w:pPr>
              <w:rPr>
                <w:rFonts w:cstheme="minorHAnsi"/>
                <w:color w:val="000000" w:themeColor="text1"/>
              </w:rPr>
            </w:pPr>
          </w:p>
          <w:p w14:paraId="5F4134B4" w14:textId="77777777" w:rsidR="008778C8" w:rsidRPr="001A0612" w:rsidRDefault="008778C8" w:rsidP="00B91F97">
            <w:pPr>
              <w:rPr>
                <w:rFonts w:cstheme="minorHAnsi"/>
                <w:color w:val="000000" w:themeColor="text1"/>
              </w:rPr>
            </w:pPr>
            <w:r w:rsidRPr="001A0612">
              <w:rPr>
                <w:rFonts w:cstheme="minorHAnsi"/>
                <w:color w:val="000000" w:themeColor="text1"/>
              </w:rPr>
              <w:t>NELP 1.2</w:t>
            </w:r>
          </w:p>
          <w:p w14:paraId="638FBB20" w14:textId="77777777" w:rsidR="008778C8" w:rsidRPr="001A0612" w:rsidRDefault="008778C8" w:rsidP="00B91F97">
            <w:pPr>
              <w:pStyle w:val="Heading6"/>
              <w:keepNext w:val="0"/>
              <w:keepLines w:val="0"/>
              <w:spacing w:before="0" w:line="240" w:lineRule="auto"/>
              <w:rPr>
                <w:rFonts w:asciiTheme="minorHAnsi" w:hAnsiTheme="minorHAnsi" w:cstheme="minorHAnsi"/>
                <w:color w:val="000000" w:themeColor="text1"/>
                <w:sz w:val="24"/>
                <w:szCs w:val="24"/>
              </w:rPr>
            </w:pPr>
          </w:p>
        </w:tc>
        <w:tc>
          <w:tcPr>
            <w:tcW w:w="2404" w:type="dxa"/>
          </w:tcPr>
          <w:p w14:paraId="1C0A9D62" w14:textId="77777777" w:rsidR="008778C8" w:rsidRPr="00A7391C" w:rsidRDefault="008778C8" w:rsidP="00B91F97">
            <w:pPr>
              <w:rPr>
                <w:rFonts w:cstheme="minorHAnsi"/>
                <w:color w:val="000000" w:themeColor="text1"/>
              </w:rPr>
            </w:pPr>
            <w:r w:rsidRPr="00A7391C">
              <w:rPr>
                <w:rFonts w:cstheme="minorHAnsi"/>
                <w:color w:val="000000" w:themeColor="text1"/>
              </w:rPr>
              <w:t xml:space="preserve">The plan of action is missing or insufficiently clear about what is necessary to implement the project. </w:t>
            </w:r>
          </w:p>
        </w:tc>
        <w:tc>
          <w:tcPr>
            <w:tcW w:w="2511" w:type="dxa"/>
          </w:tcPr>
          <w:p w14:paraId="5E447B83" w14:textId="77777777" w:rsidR="008778C8" w:rsidRPr="00A7391C" w:rsidRDefault="008778C8" w:rsidP="00B91F97">
            <w:pPr>
              <w:rPr>
                <w:rFonts w:cstheme="minorHAnsi"/>
                <w:color w:val="000000" w:themeColor="text1"/>
              </w:rPr>
            </w:pPr>
            <w:r w:rsidRPr="00A7391C">
              <w:rPr>
                <w:rFonts w:cstheme="minorHAnsi"/>
                <w:color w:val="000000" w:themeColor="text1"/>
              </w:rPr>
              <w:t>A thorough and detailed plan of action includes a comprehensive timeline for sustained teacher engagement as well as specified resource allocations outlining costs, materials, outcomes, and personnel.</w:t>
            </w:r>
          </w:p>
          <w:p w14:paraId="0443324D" w14:textId="77777777" w:rsidR="008778C8" w:rsidRPr="00A7391C" w:rsidRDefault="008778C8" w:rsidP="00B91F97">
            <w:pPr>
              <w:rPr>
                <w:rFonts w:cstheme="minorHAnsi"/>
                <w:color w:val="000000" w:themeColor="text1"/>
              </w:rPr>
            </w:pPr>
          </w:p>
        </w:tc>
        <w:tc>
          <w:tcPr>
            <w:tcW w:w="2518" w:type="dxa"/>
          </w:tcPr>
          <w:p w14:paraId="20ED620E" w14:textId="77777777" w:rsidR="008778C8" w:rsidRPr="00A7391C" w:rsidRDefault="008778C8" w:rsidP="00B91F97">
            <w:pPr>
              <w:rPr>
                <w:rFonts w:cstheme="minorHAnsi"/>
                <w:color w:val="000000" w:themeColor="text1"/>
              </w:rPr>
            </w:pPr>
            <w:r w:rsidRPr="00A7391C">
              <w:rPr>
                <w:rFonts w:cstheme="minorHAnsi"/>
                <w:color w:val="000000" w:themeColor="text1"/>
              </w:rPr>
              <w:t>A thorough and detailed plan of action includes a comprehensive timeline for sustained teacher engagement as well as specified resource allocations outlining costs, materials, outcomes, and personnel.</w:t>
            </w:r>
          </w:p>
          <w:p w14:paraId="4DD781C3" w14:textId="77777777" w:rsidR="008778C8" w:rsidRPr="00A7391C" w:rsidRDefault="008778C8" w:rsidP="00B91F97">
            <w:pPr>
              <w:rPr>
                <w:rFonts w:cstheme="minorHAnsi"/>
                <w:color w:val="000000" w:themeColor="text1"/>
              </w:rPr>
            </w:pPr>
            <w:r w:rsidRPr="00A7391C">
              <w:rPr>
                <w:rFonts w:cstheme="minorHAnsi"/>
                <w:color w:val="000000" w:themeColor="text1"/>
              </w:rPr>
              <w:t>Evidence indicates the plan was implemented in a school setting.</w:t>
            </w:r>
          </w:p>
        </w:tc>
      </w:tr>
      <w:tr w:rsidR="008778C8" w:rsidRPr="00A7391C" w14:paraId="00AA381E" w14:textId="77777777" w:rsidTr="00B91F97">
        <w:tc>
          <w:tcPr>
            <w:tcW w:w="1927" w:type="dxa"/>
          </w:tcPr>
          <w:p w14:paraId="2DF48A40" w14:textId="77777777" w:rsidR="008778C8" w:rsidRPr="001A0612" w:rsidRDefault="008778C8" w:rsidP="00B91F97">
            <w:pPr>
              <w:rPr>
                <w:rFonts w:cstheme="minorHAnsi"/>
                <w:color w:val="000000" w:themeColor="text1"/>
              </w:rPr>
            </w:pPr>
            <w:r w:rsidRPr="001A0612">
              <w:rPr>
                <w:rFonts w:cstheme="minorHAnsi"/>
                <w:color w:val="000000" w:themeColor="text1"/>
              </w:rPr>
              <w:t xml:space="preserve">Collaboration </w:t>
            </w:r>
          </w:p>
          <w:p w14:paraId="19687605" w14:textId="77777777" w:rsidR="008778C8" w:rsidRPr="001A0612" w:rsidRDefault="008778C8" w:rsidP="00B91F97">
            <w:pPr>
              <w:rPr>
                <w:rFonts w:cstheme="minorHAnsi"/>
                <w:color w:val="000000" w:themeColor="text1"/>
              </w:rPr>
            </w:pPr>
          </w:p>
          <w:p w14:paraId="57845D34" w14:textId="77777777" w:rsidR="008778C8" w:rsidRPr="001A0612" w:rsidRDefault="008778C8" w:rsidP="00B91F97">
            <w:pPr>
              <w:rPr>
                <w:rFonts w:cstheme="minorHAnsi"/>
                <w:color w:val="000000" w:themeColor="text1"/>
              </w:rPr>
            </w:pPr>
            <w:r w:rsidRPr="001A0612">
              <w:rPr>
                <w:rFonts w:cstheme="minorHAnsi"/>
                <w:color w:val="000000" w:themeColor="text1"/>
              </w:rPr>
              <w:t>NELP 7.2</w:t>
            </w:r>
          </w:p>
          <w:p w14:paraId="0BF8875C" w14:textId="77777777" w:rsidR="008778C8" w:rsidRPr="001A0612" w:rsidRDefault="008778C8" w:rsidP="00B91F97">
            <w:pPr>
              <w:rPr>
                <w:rFonts w:cstheme="minorHAnsi"/>
                <w:color w:val="000000" w:themeColor="text1"/>
              </w:rPr>
            </w:pPr>
          </w:p>
        </w:tc>
        <w:tc>
          <w:tcPr>
            <w:tcW w:w="2404" w:type="dxa"/>
          </w:tcPr>
          <w:p w14:paraId="586D8460" w14:textId="77777777" w:rsidR="008778C8" w:rsidRPr="00A7391C" w:rsidRDefault="008778C8" w:rsidP="00B91F97">
            <w:pPr>
              <w:rPr>
                <w:rFonts w:cstheme="minorHAnsi"/>
                <w:color w:val="000000" w:themeColor="text1"/>
              </w:rPr>
            </w:pPr>
            <w:r w:rsidRPr="00A7391C">
              <w:rPr>
                <w:rFonts w:cstheme="minorHAnsi"/>
                <w:color w:val="000000" w:themeColor="text1"/>
              </w:rPr>
              <w:t>The activities are insufficiently specified or involve only passive teacher participation.</w:t>
            </w:r>
          </w:p>
        </w:tc>
        <w:tc>
          <w:tcPr>
            <w:tcW w:w="2511" w:type="dxa"/>
          </w:tcPr>
          <w:p w14:paraId="7C7C3A4D" w14:textId="77777777" w:rsidR="008778C8" w:rsidRPr="00A7391C" w:rsidRDefault="008778C8" w:rsidP="00B91F97">
            <w:pPr>
              <w:rPr>
                <w:rFonts w:cstheme="minorHAnsi"/>
                <w:color w:val="000000" w:themeColor="text1"/>
              </w:rPr>
            </w:pPr>
            <w:r w:rsidRPr="00A7391C">
              <w:rPr>
                <w:rFonts w:cstheme="minorHAnsi"/>
                <w:color w:val="000000" w:themeColor="text1"/>
              </w:rPr>
              <w:t>The format for professional learning actively engages teachers in</w:t>
            </w:r>
            <w:r w:rsidRPr="00A7391C">
              <w:rPr>
                <w:rFonts w:cstheme="minorHAnsi"/>
              </w:rPr>
              <w:t xml:space="preserve"> a collaborative professional culture by incorporating at least one research-supported practice, such as high levels of peer interaction, teacher inquiry, or a teacher- or student-identified focus.</w:t>
            </w:r>
          </w:p>
        </w:tc>
        <w:tc>
          <w:tcPr>
            <w:tcW w:w="2518" w:type="dxa"/>
          </w:tcPr>
          <w:p w14:paraId="520BD9B6" w14:textId="6F7D8475" w:rsidR="008778C8" w:rsidRPr="00A7391C" w:rsidRDefault="008778C8" w:rsidP="00B91F97">
            <w:pPr>
              <w:widowControl w:val="0"/>
              <w:autoSpaceDE w:val="0"/>
              <w:autoSpaceDN w:val="0"/>
              <w:adjustRightInd w:val="0"/>
              <w:rPr>
                <w:rFonts w:cstheme="minorHAnsi"/>
              </w:rPr>
            </w:pPr>
            <w:r w:rsidRPr="00A7391C">
              <w:rPr>
                <w:rFonts w:cstheme="minorHAnsi"/>
                <w:color w:val="000000" w:themeColor="text1"/>
              </w:rPr>
              <w:t>The format for professional learning actively engages teachers in</w:t>
            </w:r>
            <w:r w:rsidRPr="00A7391C">
              <w:rPr>
                <w:rFonts w:cstheme="minorHAnsi"/>
              </w:rPr>
              <w:t xml:space="preserve"> a collaborative professional culture by incorporating at least one research-supported practice, such as high levels of peer interaction, teacher inquiry, or a teacher- or student-identified focus.</w:t>
            </w:r>
            <w:bookmarkStart w:id="0" w:name="_GoBack"/>
            <w:bookmarkEnd w:id="0"/>
          </w:p>
          <w:p w14:paraId="2BAC00DF" w14:textId="77777777" w:rsidR="008778C8" w:rsidRPr="00A7391C" w:rsidRDefault="008778C8" w:rsidP="00B91F97">
            <w:pPr>
              <w:widowControl w:val="0"/>
              <w:autoSpaceDE w:val="0"/>
              <w:autoSpaceDN w:val="0"/>
              <w:adjustRightInd w:val="0"/>
              <w:rPr>
                <w:rFonts w:cstheme="minorHAnsi"/>
                <w:color w:val="000000" w:themeColor="text1"/>
              </w:rPr>
            </w:pPr>
            <w:r w:rsidRPr="00A7391C">
              <w:rPr>
                <w:rFonts w:cstheme="minorHAnsi"/>
                <w:color w:val="000000" w:themeColor="text1"/>
              </w:rPr>
              <w:t>Evidence indicates the plan was implemented in a school setting.</w:t>
            </w:r>
          </w:p>
        </w:tc>
      </w:tr>
      <w:tr w:rsidR="008778C8" w:rsidRPr="00A7391C" w14:paraId="2892755A" w14:textId="77777777" w:rsidTr="00B91F97">
        <w:tc>
          <w:tcPr>
            <w:tcW w:w="1927" w:type="dxa"/>
          </w:tcPr>
          <w:p w14:paraId="1D3786DB" w14:textId="77777777" w:rsidR="008778C8" w:rsidRPr="001A0612" w:rsidRDefault="008778C8" w:rsidP="00B91F97">
            <w:pPr>
              <w:rPr>
                <w:rFonts w:cstheme="minorHAnsi"/>
                <w:color w:val="000000" w:themeColor="text1"/>
              </w:rPr>
            </w:pPr>
            <w:r w:rsidRPr="001A0612">
              <w:rPr>
                <w:rFonts w:cstheme="minorHAnsi"/>
                <w:color w:val="000000" w:themeColor="text1"/>
              </w:rPr>
              <w:t>Reflection and Responsiveness</w:t>
            </w:r>
          </w:p>
          <w:p w14:paraId="763D3CA0" w14:textId="77777777" w:rsidR="008778C8" w:rsidRPr="001A0612" w:rsidRDefault="008778C8" w:rsidP="00B91F97">
            <w:pPr>
              <w:rPr>
                <w:rFonts w:cstheme="minorHAnsi"/>
                <w:color w:val="000000" w:themeColor="text1"/>
              </w:rPr>
            </w:pPr>
          </w:p>
          <w:p w14:paraId="264BACE4" w14:textId="77777777" w:rsidR="008778C8" w:rsidRPr="001A0612" w:rsidRDefault="008778C8" w:rsidP="00B91F97">
            <w:pPr>
              <w:rPr>
                <w:rFonts w:cstheme="minorHAnsi"/>
                <w:color w:val="000000" w:themeColor="text1"/>
              </w:rPr>
            </w:pPr>
            <w:r w:rsidRPr="001A0612">
              <w:rPr>
                <w:rFonts w:cstheme="minorHAnsi"/>
                <w:color w:val="000000" w:themeColor="text1"/>
              </w:rPr>
              <w:t>NELP 7.3</w:t>
            </w:r>
          </w:p>
          <w:p w14:paraId="40347222" w14:textId="77777777" w:rsidR="008778C8" w:rsidRPr="001A0612" w:rsidRDefault="008778C8" w:rsidP="00B91F97">
            <w:pPr>
              <w:rPr>
                <w:rFonts w:cstheme="minorHAnsi"/>
                <w:color w:val="000000" w:themeColor="text1"/>
              </w:rPr>
            </w:pPr>
          </w:p>
        </w:tc>
        <w:tc>
          <w:tcPr>
            <w:tcW w:w="2404" w:type="dxa"/>
          </w:tcPr>
          <w:p w14:paraId="370B4AE2" w14:textId="77777777" w:rsidR="008778C8" w:rsidRPr="00A7391C" w:rsidRDefault="008778C8" w:rsidP="00B91F97">
            <w:pPr>
              <w:rPr>
                <w:rFonts w:cstheme="minorHAnsi"/>
                <w:color w:val="000000" w:themeColor="text1"/>
              </w:rPr>
            </w:pPr>
            <w:r w:rsidRPr="00A7391C">
              <w:rPr>
                <w:rFonts w:cstheme="minorHAnsi"/>
                <w:color w:val="000000" w:themeColor="text1"/>
              </w:rPr>
              <w:t>Teachers are not asked to reflect on their learning or elements of the plan are culturally inappropriate (</w:t>
            </w:r>
            <w:proofErr w:type="spellStart"/>
            <w:r w:rsidRPr="00A7391C">
              <w:rPr>
                <w:rFonts w:cstheme="minorHAnsi"/>
                <w:color w:val="000000" w:themeColor="text1"/>
              </w:rPr>
              <w:t>e.g</w:t>
            </w:r>
            <w:proofErr w:type="spellEnd"/>
            <w:r w:rsidRPr="00A7391C">
              <w:rPr>
                <w:rFonts w:cstheme="minorHAnsi"/>
                <w:color w:val="000000" w:themeColor="text1"/>
              </w:rPr>
              <w:t xml:space="preserve">, based on stereotypes </w:t>
            </w:r>
            <w:r w:rsidRPr="00A7391C">
              <w:rPr>
                <w:rFonts w:cstheme="minorHAnsi"/>
                <w:color w:val="000000" w:themeColor="text1"/>
              </w:rPr>
              <w:lastRenderedPageBreak/>
              <w:t>or reflect deficit thinking.)</w:t>
            </w:r>
          </w:p>
        </w:tc>
        <w:tc>
          <w:tcPr>
            <w:tcW w:w="2511" w:type="dxa"/>
          </w:tcPr>
          <w:p w14:paraId="47449359" w14:textId="77777777" w:rsidR="008778C8" w:rsidRPr="00A7391C" w:rsidRDefault="008778C8" w:rsidP="00B91F97">
            <w:pPr>
              <w:widowControl w:val="0"/>
              <w:autoSpaceDE w:val="0"/>
              <w:autoSpaceDN w:val="0"/>
              <w:adjustRightInd w:val="0"/>
              <w:rPr>
                <w:rFonts w:cstheme="minorHAnsi"/>
              </w:rPr>
            </w:pPr>
            <w:r w:rsidRPr="00A7391C">
              <w:rPr>
                <w:rFonts w:cstheme="minorHAnsi"/>
              </w:rPr>
              <w:lastRenderedPageBreak/>
              <w:t xml:space="preserve">The activities are explicitly connected to the stated objectives and provide opportunities for teachers to apply culturally responsive practices in their work </w:t>
            </w:r>
            <w:r w:rsidRPr="00A7391C">
              <w:rPr>
                <w:rFonts w:cstheme="minorHAnsi"/>
              </w:rPr>
              <w:lastRenderedPageBreak/>
              <w:t>and reflect on their learning.</w:t>
            </w:r>
          </w:p>
          <w:p w14:paraId="2CD58F9B" w14:textId="77777777" w:rsidR="008778C8" w:rsidRPr="00A7391C" w:rsidRDefault="008778C8" w:rsidP="00B91F97">
            <w:pPr>
              <w:rPr>
                <w:rFonts w:cstheme="minorHAnsi"/>
                <w:color w:val="000000" w:themeColor="text1"/>
              </w:rPr>
            </w:pPr>
          </w:p>
        </w:tc>
        <w:tc>
          <w:tcPr>
            <w:tcW w:w="2518" w:type="dxa"/>
          </w:tcPr>
          <w:p w14:paraId="17F2F1B9" w14:textId="77777777" w:rsidR="008778C8" w:rsidRPr="00A7391C" w:rsidRDefault="008778C8" w:rsidP="00B91F97">
            <w:pPr>
              <w:widowControl w:val="0"/>
              <w:autoSpaceDE w:val="0"/>
              <w:autoSpaceDN w:val="0"/>
              <w:adjustRightInd w:val="0"/>
              <w:rPr>
                <w:rFonts w:cstheme="minorHAnsi"/>
              </w:rPr>
            </w:pPr>
            <w:r w:rsidRPr="00A7391C">
              <w:rPr>
                <w:rFonts w:cstheme="minorHAnsi"/>
              </w:rPr>
              <w:lastRenderedPageBreak/>
              <w:t xml:space="preserve">The activities are explicitly connected to the stated objectives and provide opportunities for teachers to apply culturally responsive practices in their work </w:t>
            </w:r>
            <w:r w:rsidRPr="00A7391C">
              <w:rPr>
                <w:rFonts w:cstheme="minorHAnsi"/>
              </w:rPr>
              <w:lastRenderedPageBreak/>
              <w:t>and reflect on their learning.</w:t>
            </w:r>
          </w:p>
          <w:p w14:paraId="5E2FF376" w14:textId="77777777" w:rsidR="008778C8" w:rsidRPr="00A7391C" w:rsidRDefault="008778C8" w:rsidP="00B91F97">
            <w:pPr>
              <w:widowControl w:val="0"/>
              <w:autoSpaceDE w:val="0"/>
              <w:autoSpaceDN w:val="0"/>
              <w:adjustRightInd w:val="0"/>
              <w:rPr>
                <w:rFonts w:cstheme="minorHAnsi"/>
                <w:color w:val="000000" w:themeColor="text1"/>
              </w:rPr>
            </w:pPr>
          </w:p>
          <w:p w14:paraId="709BEAFA" w14:textId="77777777" w:rsidR="008778C8" w:rsidRPr="00A7391C" w:rsidRDefault="008778C8" w:rsidP="00B91F97">
            <w:pPr>
              <w:widowControl w:val="0"/>
              <w:autoSpaceDE w:val="0"/>
              <w:autoSpaceDN w:val="0"/>
              <w:adjustRightInd w:val="0"/>
              <w:rPr>
                <w:rFonts w:cstheme="minorHAnsi"/>
                <w:color w:val="000000" w:themeColor="text1"/>
              </w:rPr>
            </w:pPr>
            <w:r w:rsidRPr="00A7391C">
              <w:rPr>
                <w:rFonts w:cstheme="minorHAnsi"/>
                <w:color w:val="000000" w:themeColor="text1"/>
              </w:rPr>
              <w:t>Evidence indicates the plan was implemented in a school setting.</w:t>
            </w:r>
          </w:p>
        </w:tc>
      </w:tr>
    </w:tbl>
    <w:p w14:paraId="15ACD357" w14:textId="77777777" w:rsidR="008778C8" w:rsidRDefault="008778C8" w:rsidP="008778C8">
      <w:pPr>
        <w:rPr>
          <w:rFonts w:cstheme="minorHAnsi"/>
          <w:color w:val="000000" w:themeColor="text1"/>
          <w:sz w:val="22"/>
          <w:szCs w:val="22"/>
        </w:rPr>
      </w:pPr>
    </w:p>
    <w:p w14:paraId="22347BB0" w14:textId="77777777" w:rsidR="008778C8" w:rsidRDefault="008778C8" w:rsidP="008778C8">
      <w:pPr>
        <w:rPr>
          <w:rFonts w:cstheme="minorHAnsi"/>
          <w:color w:val="000000" w:themeColor="text1"/>
          <w:sz w:val="22"/>
          <w:szCs w:val="22"/>
        </w:rPr>
      </w:pPr>
    </w:p>
    <w:p w14:paraId="5279C290" w14:textId="77777777" w:rsidR="008778C8" w:rsidRPr="00A7391C" w:rsidRDefault="008778C8" w:rsidP="008778C8">
      <w:pPr>
        <w:jc w:val="both"/>
        <w:rPr>
          <w:rFonts w:cstheme="minorHAnsi"/>
          <w:b/>
          <w:bCs/>
        </w:rPr>
      </w:pPr>
      <w:r w:rsidRPr="00A7391C">
        <w:rPr>
          <w:rFonts w:cstheme="minorHAnsi"/>
          <w:b/>
          <w:bCs/>
        </w:rPr>
        <w:t>Rubric Validity</w:t>
      </w:r>
    </w:p>
    <w:p w14:paraId="2429EDEC" w14:textId="77777777" w:rsidR="008778C8" w:rsidRPr="00A7391C" w:rsidRDefault="008778C8" w:rsidP="008778C8">
      <w:pPr>
        <w:jc w:val="both"/>
        <w:rPr>
          <w:rFonts w:cstheme="minorHAnsi"/>
        </w:rPr>
      </w:pPr>
      <w:proofErr w:type="spellStart"/>
      <w:r w:rsidRPr="00A7391C">
        <w:rPr>
          <w:rFonts w:cstheme="minorHAnsi"/>
        </w:rPr>
        <w:t>Lawshe’s</w:t>
      </w:r>
      <w:proofErr w:type="spellEnd"/>
      <w:r w:rsidRPr="00A7391C">
        <w:rPr>
          <w:rFonts w:cstheme="minorHAnsi"/>
        </w:rPr>
        <w:t xml:space="preserve"> Content Validity Ratio (5 panelists)</w:t>
      </w:r>
    </w:p>
    <w:p w14:paraId="779947E1" w14:textId="77777777" w:rsidR="008778C8" w:rsidRPr="00A7391C" w:rsidRDefault="008778C8" w:rsidP="008778C8">
      <w:pPr>
        <w:jc w:val="both"/>
        <w:rPr>
          <w:rFonts w:cstheme="minorHAnsi"/>
          <w:b/>
          <w:bCs/>
        </w:rPr>
      </w:pPr>
    </w:p>
    <w:p w14:paraId="4E677813" w14:textId="77777777" w:rsidR="008778C8" w:rsidRPr="00A7391C" w:rsidRDefault="008778C8" w:rsidP="008778C8">
      <w:pPr>
        <w:jc w:val="both"/>
        <w:rPr>
          <w:rFonts w:cstheme="minorHAnsi"/>
        </w:rPr>
      </w:pPr>
      <w:r w:rsidRPr="00A7391C">
        <w:rPr>
          <w:rFonts w:cstheme="minorHAnsi"/>
        </w:rPr>
        <w:t>Rationale</w:t>
      </w:r>
      <w:r w:rsidRPr="00A7391C">
        <w:rPr>
          <w:rFonts w:cstheme="minorHAnsi"/>
        </w:rPr>
        <w:tab/>
        <w:t>1.0</w:t>
      </w:r>
    </w:p>
    <w:p w14:paraId="72765C1F" w14:textId="77777777" w:rsidR="008778C8" w:rsidRPr="00A7391C" w:rsidRDefault="008778C8" w:rsidP="008778C8">
      <w:pPr>
        <w:jc w:val="both"/>
        <w:rPr>
          <w:rFonts w:cstheme="minorHAnsi"/>
        </w:rPr>
      </w:pPr>
      <w:r w:rsidRPr="00A7391C">
        <w:rPr>
          <w:rFonts w:cstheme="minorHAnsi"/>
        </w:rPr>
        <w:t>Objective</w:t>
      </w:r>
      <w:r w:rsidRPr="00A7391C">
        <w:rPr>
          <w:rFonts w:cstheme="minorHAnsi"/>
        </w:rPr>
        <w:tab/>
        <w:t>1.0</w:t>
      </w:r>
    </w:p>
    <w:p w14:paraId="41B90EB1" w14:textId="77777777" w:rsidR="008778C8" w:rsidRPr="00A7391C" w:rsidRDefault="008778C8" w:rsidP="008778C8">
      <w:pPr>
        <w:jc w:val="both"/>
        <w:rPr>
          <w:rFonts w:cstheme="minorHAnsi"/>
        </w:rPr>
      </w:pPr>
      <w:r w:rsidRPr="00A7391C">
        <w:rPr>
          <w:rFonts w:cstheme="minorHAnsi"/>
        </w:rPr>
        <w:t>Assessment</w:t>
      </w:r>
      <w:r w:rsidRPr="00A7391C">
        <w:rPr>
          <w:rFonts w:cstheme="minorHAnsi"/>
        </w:rPr>
        <w:tab/>
        <w:t>0.6</w:t>
      </w:r>
    </w:p>
    <w:p w14:paraId="737578D6" w14:textId="77777777" w:rsidR="008778C8" w:rsidRPr="00A7391C" w:rsidRDefault="008778C8" w:rsidP="008778C8">
      <w:pPr>
        <w:jc w:val="both"/>
        <w:rPr>
          <w:rFonts w:cstheme="minorHAnsi"/>
        </w:rPr>
      </w:pPr>
      <w:r w:rsidRPr="00A7391C">
        <w:rPr>
          <w:rFonts w:cstheme="minorHAnsi"/>
        </w:rPr>
        <w:t>Collaboration</w:t>
      </w:r>
      <w:r w:rsidRPr="00A7391C">
        <w:rPr>
          <w:rFonts w:cstheme="minorHAnsi"/>
        </w:rPr>
        <w:tab/>
        <w:t>-0.2 (</w:t>
      </w:r>
      <w:r>
        <w:rPr>
          <w:rFonts w:cstheme="minorHAnsi"/>
        </w:rPr>
        <w:t>was</w:t>
      </w:r>
      <w:r w:rsidRPr="00A7391C">
        <w:rPr>
          <w:rFonts w:cstheme="minorHAnsi"/>
        </w:rPr>
        <w:t xml:space="preserve"> revised)</w:t>
      </w:r>
    </w:p>
    <w:p w14:paraId="7CA99017" w14:textId="77777777" w:rsidR="008778C8" w:rsidRPr="00A7391C" w:rsidRDefault="008778C8" w:rsidP="008778C8">
      <w:pPr>
        <w:jc w:val="both"/>
        <w:rPr>
          <w:rFonts w:cstheme="minorHAnsi"/>
        </w:rPr>
      </w:pPr>
      <w:r w:rsidRPr="00A7391C">
        <w:rPr>
          <w:rFonts w:cstheme="minorHAnsi"/>
        </w:rPr>
        <w:t>Reflection</w:t>
      </w:r>
      <w:r w:rsidRPr="00A7391C">
        <w:rPr>
          <w:rFonts w:cstheme="minorHAnsi"/>
        </w:rPr>
        <w:tab/>
        <w:t>0.6</w:t>
      </w:r>
    </w:p>
    <w:p w14:paraId="1009C75B" w14:textId="77777777" w:rsidR="008778C8" w:rsidRDefault="008778C8" w:rsidP="008778C8">
      <w:pPr>
        <w:jc w:val="both"/>
        <w:rPr>
          <w:rFonts w:cstheme="minorHAnsi"/>
        </w:rPr>
      </w:pPr>
      <w:r w:rsidRPr="00A7391C">
        <w:rPr>
          <w:rFonts w:cstheme="minorHAnsi"/>
        </w:rPr>
        <w:t>Action Plan</w:t>
      </w:r>
      <w:r w:rsidRPr="00A7391C">
        <w:rPr>
          <w:rFonts w:cstheme="minorHAnsi"/>
        </w:rPr>
        <w:tab/>
        <w:t>1.0</w:t>
      </w:r>
    </w:p>
    <w:p w14:paraId="6231B16B" w14:textId="77777777" w:rsidR="008778C8" w:rsidRDefault="008778C8" w:rsidP="008778C8">
      <w:pPr>
        <w:jc w:val="both"/>
        <w:rPr>
          <w:rFonts w:cstheme="minorHAnsi"/>
        </w:rPr>
      </w:pPr>
    </w:p>
    <w:p w14:paraId="27703B07" w14:textId="77777777" w:rsidR="008778C8" w:rsidRDefault="008778C8" w:rsidP="008778C8">
      <w:pPr>
        <w:jc w:val="both"/>
        <w:rPr>
          <w:rFonts w:cstheme="minorHAnsi"/>
        </w:rPr>
      </w:pPr>
    </w:p>
    <w:p w14:paraId="17953743" w14:textId="77777777" w:rsidR="008778C8" w:rsidRPr="00A7391C" w:rsidRDefault="008778C8" w:rsidP="008778C8">
      <w:pPr>
        <w:jc w:val="both"/>
        <w:rPr>
          <w:rFonts w:cstheme="minorHAnsi"/>
          <w:b/>
          <w:bCs/>
        </w:rPr>
      </w:pPr>
      <w:r w:rsidRPr="00A7391C">
        <w:rPr>
          <w:rFonts w:cstheme="minorHAnsi"/>
          <w:b/>
          <w:bCs/>
        </w:rPr>
        <w:t>g. Data Tables</w:t>
      </w:r>
    </w:p>
    <w:p w14:paraId="5275D643" w14:textId="77777777" w:rsidR="008778C8" w:rsidRPr="00A7391C" w:rsidRDefault="008778C8" w:rsidP="008778C8">
      <w:pPr>
        <w:jc w:val="both"/>
        <w:rPr>
          <w:rFonts w:cstheme="minorHAnsi"/>
        </w:rPr>
      </w:pPr>
      <w:r w:rsidRPr="00A7391C">
        <w:rPr>
          <w:rFonts w:cstheme="minorHAnsi"/>
        </w:rPr>
        <w:t>Inter-Rater Reliability- NA, only one assessor contributed data</w:t>
      </w:r>
    </w:p>
    <w:p w14:paraId="0DA9A8C7" w14:textId="77777777" w:rsidR="008778C8" w:rsidRPr="00A7391C" w:rsidRDefault="008778C8" w:rsidP="008778C8">
      <w:pPr>
        <w:jc w:val="both"/>
        <w:rPr>
          <w:rFonts w:cstheme="minorHAnsi"/>
          <w:b/>
          <w:bCs/>
        </w:rPr>
      </w:pPr>
    </w:p>
    <w:p w14:paraId="40BC8501" w14:textId="77777777" w:rsidR="008778C8" w:rsidRPr="00A7391C" w:rsidRDefault="008778C8" w:rsidP="008778C8">
      <w:pPr>
        <w:jc w:val="both"/>
        <w:rPr>
          <w:rFonts w:cstheme="minorHAnsi"/>
          <w:b/>
          <w:bCs/>
        </w:rPr>
      </w:pPr>
      <w:r w:rsidRPr="00A7391C">
        <w:rPr>
          <w:rFonts w:cstheme="minorHAnsi"/>
          <w:b/>
          <w:bCs/>
        </w:rPr>
        <w:t>Fall 201</w:t>
      </w:r>
      <w:r>
        <w:rPr>
          <w:rFonts w:cstheme="minorHAnsi"/>
          <w:b/>
          <w:bCs/>
        </w:rPr>
        <w:t>9</w:t>
      </w:r>
    </w:p>
    <w:p w14:paraId="1B473F5F" w14:textId="464E4AB6" w:rsidR="008778C8" w:rsidRPr="00A7391C" w:rsidRDefault="008778C8" w:rsidP="008778C8">
      <w:pPr>
        <w:jc w:val="both"/>
        <w:rPr>
          <w:rFonts w:cstheme="minorHAnsi"/>
        </w:rPr>
      </w:pPr>
      <w:r w:rsidRPr="00A7391C">
        <w:rPr>
          <w:rFonts w:cstheme="minorHAnsi"/>
        </w:rPr>
        <w:t xml:space="preserve">Master’s </w:t>
      </w:r>
      <w:r w:rsidRPr="00A7391C">
        <w:rPr>
          <w:rFonts w:cstheme="minorHAnsi"/>
          <w:i/>
          <w:iCs/>
        </w:rPr>
        <w:t>n</w:t>
      </w:r>
      <w:r w:rsidRPr="00A7391C">
        <w:rPr>
          <w:rFonts w:cstheme="minorHAnsi"/>
        </w:rPr>
        <w:t xml:space="preserve"> = </w:t>
      </w:r>
      <w:r w:rsidR="006538AF">
        <w:rPr>
          <w:rFonts w:cstheme="minorHAnsi"/>
        </w:rPr>
        <w:t>10</w:t>
      </w:r>
      <w:r w:rsidRPr="00A7391C">
        <w:rPr>
          <w:rFonts w:cstheme="minorHAnsi"/>
        </w:rPr>
        <w:tab/>
        <w:t xml:space="preserve">Post Masters </w:t>
      </w:r>
      <w:r w:rsidRPr="00A7391C">
        <w:rPr>
          <w:rFonts w:cstheme="minorHAnsi"/>
          <w:i/>
          <w:iCs/>
        </w:rPr>
        <w:t>n</w:t>
      </w:r>
      <w:r w:rsidRPr="00A7391C">
        <w:rPr>
          <w:rFonts w:cstheme="minorHAnsi"/>
        </w:rPr>
        <w:t xml:space="preserve"> = </w:t>
      </w:r>
      <w:r w:rsidR="006538AF">
        <w:rPr>
          <w:rFonts w:cstheme="minorHAnsi"/>
        </w:rPr>
        <w:t>3</w:t>
      </w:r>
    </w:p>
    <w:tbl>
      <w:tblPr>
        <w:tblStyle w:val="TableGrid"/>
        <w:tblW w:w="0" w:type="auto"/>
        <w:tblLook w:val="04A0" w:firstRow="1" w:lastRow="0" w:firstColumn="1" w:lastColumn="0" w:noHBand="0" w:noVBand="1"/>
        <w:tblDescription w:val="Layout table"/>
      </w:tblPr>
      <w:tblGrid>
        <w:gridCol w:w="1099"/>
        <w:gridCol w:w="1040"/>
        <w:gridCol w:w="1208"/>
        <w:gridCol w:w="1106"/>
        <w:gridCol w:w="1188"/>
        <w:gridCol w:w="997"/>
        <w:gridCol w:w="1187"/>
        <w:gridCol w:w="1170"/>
      </w:tblGrid>
      <w:tr w:rsidR="008778C8" w:rsidRPr="00A7391C" w14:paraId="44DEBF61" w14:textId="77777777" w:rsidTr="006538AF">
        <w:tc>
          <w:tcPr>
            <w:tcW w:w="1099" w:type="dxa"/>
            <w:vMerge w:val="restart"/>
          </w:tcPr>
          <w:p w14:paraId="1756E858" w14:textId="77777777" w:rsidR="008778C8" w:rsidRPr="00A7391C" w:rsidRDefault="008778C8" w:rsidP="00B91F97">
            <w:pPr>
              <w:jc w:val="both"/>
              <w:rPr>
                <w:rFonts w:cstheme="minorHAnsi"/>
              </w:rPr>
            </w:pPr>
          </w:p>
          <w:p w14:paraId="7C1C40B9" w14:textId="77777777" w:rsidR="008778C8" w:rsidRPr="00A7391C" w:rsidRDefault="008778C8" w:rsidP="00B91F97">
            <w:pPr>
              <w:jc w:val="both"/>
              <w:rPr>
                <w:rFonts w:cstheme="minorHAnsi"/>
              </w:rPr>
            </w:pPr>
            <w:r w:rsidRPr="00A7391C">
              <w:rPr>
                <w:rFonts w:cstheme="minorHAnsi"/>
              </w:rPr>
              <w:t>Standard</w:t>
            </w:r>
          </w:p>
        </w:tc>
        <w:tc>
          <w:tcPr>
            <w:tcW w:w="2248" w:type="dxa"/>
            <w:gridSpan w:val="2"/>
            <w:shd w:val="clear" w:color="auto" w:fill="F2F2F2" w:themeFill="background1" w:themeFillShade="F2"/>
          </w:tcPr>
          <w:p w14:paraId="62EBE15B" w14:textId="77777777" w:rsidR="008778C8" w:rsidRPr="00A7391C" w:rsidRDefault="008778C8" w:rsidP="00B91F97">
            <w:pPr>
              <w:jc w:val="center"/>
              <w:rPr>
                <w:rFonts w:cstheme="minorHAnsi"/>
              </w:rPr>
            </w:pPr>
            <w:r w:rsidRPr="00A7391C">
              <w:rPr>
                <w:rFonts w:cstheme="minorHAnsi"/>
              </w:rPr>
              <w:t>Unacceptable (1)</w:t>
            </w:r>
          </w:p>
        </w:tc>
        <w:tc>
          <w:tcPr>
            <w:tcW w:w="2294" w:type="dxa"/>
            <w:gridSpan w:val="2"/>
          </w:tcPr>
          <w:p w14:paraId="0E314C7C" w14:textId="77777777" w:rsidR="008778C8" w:rsidRPr="00A7391C" w:rsidRDefault="008778C8" w:rsidP="00B91F97">
            <w:pPr>
              <w:jc w:val="center"/>
              <w:rPr>
                <w:rFonts w:cstheme="minorHAnsi"/>
              </w:rPr>
            </w:pPr>
            <w:r w:rsidRPr="00A7391C">
              <w:rPr>
                <w:rFonts w:cstheme="minorHAnsi"/>
              </w:rPr>
              <w:t>Acceptable (2)</w:t>
            </w:r>
          </w:p>
        </w:tc>
        <w:tc>
          <w:tcPr>
            <w:tcW w:w="2184" w:type="dxa"/>
            <w:gridSpan w:val="2"/>
            <w:shd w:val="clear" w:color="auto" w:fill="F2F2F2" w:themeFill="background1" w:themeFillShade="F2"/>
          </w:tcPr>
          <w:p w14:paraId="144FDE28" w14:textId="77777777" w:rsidR="008778C8" w:rsidRPr="00A7391C" w:rsidRDefault="008778C8" w:rsidP="00B91F97">
            <w:pPr>
              <w:jc w:val="center"/>
              <w:rPr>
                <w:rFonts w:cstheme="minorHAnsi"/>
              </w:rPr>
            </w:pPr>
            <w:r w:rsidRPr="00A7391C">
              <w:rPr>
                <w:rFonts w:cstheme="minorHAnsi"/>
              </w:rPr>
              <w:t>Target (3)</w:t>
            </w:r>
          </w:p>
        </w:tc>
        <w:tc>
          <w:tcPr>
            <w:tcW w:w="1170" w:type="dxa"/>
          </w:tcPr>
          <w:p w14:paraId="570A6558" w14:textId="77777777" w:rsidR="008778C8" w:rsidRPr="00A7391C" w:rsidRDefault="008778C8" w:rsidP="00B91F97">
            <w:pPr>
              <w:jc w:val="center"/>
              <w:rPr>
                <w:rFonts w:cstheme="minorHAnsi"/>
              </w:rPr>
            </w:pPr>
          </w:p>
        </w:tc>
      </w:tr>
      <w:tr w:rsidR="008778C8" w:rsidRPr="00A7391C" w14:paraId="2EDC0088" w14:textId="77777777" w:rsidTr="006538AF">
        <w:trPr>
          <w:trHeight w:val="386"/>
        </w:trPr>
        <w:tc>
          <w:tcPr>
            <w:tcW w:w="1099" w:type="dxa"/>
            <w:vMerge/>
          </w:tcPr>
          <w:p w14:paraId="3060C0FC" w14:textId="77777777" w:rsidR="008778C8" w:rsidRPr="00A7391C" w:rsidRDefault="008778C8" w:rsidP="00B91F97">
            <w:pPr>
              <w:jc w:val="both"/>
              <w:rPr>
                <w:rFonts w:cstheme="minorHAnsi"/>
              </w:rPr>
            </w:pPr>
          </w:p>
        </w:tc>
        <w:tc>
          <w:tcPr>
            <w:tcW w:w="1040" w:type="dxa"/>
            <w:shd w:val="clear" w:color="auto" w:fill="F2F2F2" w:themeFill="background1" w:themeFillShade="F2"/>
          </w:tcPr>
          <w:p w14:paraId="0AD847BC" w14:textId="77777777" w:rsidR="008778C8" w:rsidRPr="00A7391C" w:rsidRDefault="008778C8" w:rsidP="00B91F97">
            <w:pPr>
              <w:jc w:val="center"/>
              <w:rPr>
                <w:rFonts w:cstheme="minorHAnsi"/>
                <w:sz w:val="22"/>
                <w:szCs w:val="22"/>
              </w:rPr>
            </w:pPr>
            <w:r w:rsidRPr="00A7391C">
              <w:rPr>
                <w:rFonts w:cstheme="minorHAnsi"/>
                <w:sz w:val="22"/>
                <w:szCs w:val="22"/>
              </w:rPr>
              <w:t>Master’s</w:t>
            </w:r>
          </w:p>
        </w:tc>
        <w:tc>
          <w:tcPr>
            <w:tcW w:w="1208" w:type="dxa"/>
            <w:shd w:val="clear" w:color="auto" w:fill="F2F2F2" w:themeFill="background1" w:themeFillShade="F2"/>
          </w:tcPr>
          <w:p w14:paraId="2644B604" w14:textId="77777777" w:rsidR="008778C8" w:rsidRPr="00A7391C" w:rsidRDefault="008778C8" w:rsidP="00B91F97">
            <w:pPr>
              <w:jc w:val="center"/>
              <w:rPr>
                <w:rFonts w:cstheme="minorHAnsi"/>
                <w:sz w:val="22"/>
                <w:szCs w:val="22"/>
              </w:rPr>
            </w:pPr>
            <w:r w:rsidRPr="00A7391C">
              <w:rPr>
                <w:rFonts w:cstheme="minorHAnsi"/>
                <w:sz w:val="22"/>
                <w:szCs w:val="22"/>
              </w:rPr>
              <w:t>Post Mast.</w:t>
            </w:r>
          </w:p>
        </w:tc>
        <w:tc>
          <w:tcPr>
            <w:tcW w:w="1106" w:type="dxa"/>
          </w:tcPr>
          <w:p w14:paraId="35076C34" w14:textId="77777777" w:rsidR="008778C8" w:rsidRPr="00A7391C" w:rsidRDefault="008778C8" w:rsidP="00B91F97">
            <w:pPr>
              <w:jc w:val="center"/>
              <w:rPr>
                <w:rFonts w:cstheme="minorHAnsi"/>
                <w:sz w:val="22"/>
                <w:szCs w:val="22"/>
              </w:rPr>
            </w:pPr>
            <w:r w:rsidRPr="00A7391C">
              <w:rPr>
                <w:rFonts w:cstheme="minorHAnsi"/>
                <w:sz w:val="22"/>
                <w:szCs w:val="22"/>
              </w:rPr>
              <w:t>Master’s</w:t>
            </w:r>
          </w:p>
        </w:tc>
        <w:tc>
          <w:tcPr>
            <w:tcW w:w="1188" w:type="dxa"/>
          </w:tcPr>
          <w:p w14:paraId="78CEDBEE" w14:textId="77777777" w:rsidR="008778C8" w:rsidRPr="00A7391C" w:rsidRDefault="008778C8" w:rsidP="00B91F97">
            <w:pPr>
              <w:jc w:val="center"/>
              <w:rPr>
                <w:rFonts w:cstheme="minorHAnsi"/>
                <w:sz w:val="22"/>
                <w:szCs w:val="22"/>
              </w:rPr>
            </w:pPr>
            <w:r w:rsidRPr="00A7391C">
              <w:rPr>
                <w:rFonts w:cstheme="minorHAnsi"/>
                <w:sz w:val="22"/>
                <w:szCs w:val="22"/>
              </w:rPr>
              <w:t>Post Mast.</w:t>
            </w:r>
          </w:p>
        </w:tc>
        <w:tc>
          <w:tcPr>
            <w:tcW w:w="997" w:type="dxa"/>
            <w:shd w:val="clear" w:color="auto" w:fill="F2F2F2" w:themeFill="background1" w:themeFillShade="F2"/>
          </w:tcPr>
          <w:p w14:paraId="32D83FE2" w14:textId="77777777" w:rsidR="008778C8" w:rsidRPr="00A7391C" w:rsidRDefault="008778C8" w:rsidP="00B91F97">
            <w:pPr>
              <w:jc w:val="center"/>
              <w:rPr>
                <w:rFonts w:cstheme="minorHAnsi"/>
                <w:sz w:val="22"/>
                <w:szCs w:val="22"/>
              </w:rPr>
            </w:pPr>
            <w:r w:rsidRPr="00A7391C">
              <w:rPr>
                <w:rFonts w:cstheme="minorHAnsi"/>
                <w:sz w:val="22"/>
                <w:szCs w:val="22"/>
              </w:rPr>
              <w:t>Master’s</w:t>
            </w:r>
          </w:p>
        </w:tc>
        <w:tc>
          <w:tcPr>
            <w:tcW w:w="1187" w:type="dxa"/>
            <w:shd w:val="clear" w:color="auto" w:fill="F2F2F2" w:themeFill="background1" w:themeFillShade="F2"/>
          </w:tcPr>
          <w:p w14:paraId="2D1795D9" w14:textId="77777777" w:rsidR="008778C8" w:rsidRPr="00A7391C" w:rsidRDefault="008778C8" w:rsidP="00B91F97">
            <w:pPr>
              <w:jc w:val="center"/>
              <w:rPr>
                <w:rFonts w:cstheme="minorHAnsi"/>
                <w:sz w:val="22"/>
                <w:szCs w:val="22"/>
              </w:rPr>
            </w:pPr>
            <w:r w:rsidRPr="00A7391C">
              <w:rPr>
                <w:rFonts w:cstheme="minorHAnsi"/>
                <w:sz w:val="22"/>
                <w:szCs w:val="22"/>
              </w:rPr>
              <w:t>Post Mast.</w:t>
            </w:r>
          </w:p>
        </w:tc>
        <w:tc>
          <w:tcPr>
            <w:tcW w:w="1170" w:type="dxa"/>
          </w:tcPr>
          <w:p w14:paraId="7CDC6A03" w14:textId="77777777" w:rsidR="008778C8" w:rsidRPr="00A7391C" w:rsidRDefault="008778C8" w:rsidP="00B91F97">
            <w:pPr>
              <w:jc w:val="center"/>
              <w:rPr>
                <w:rFonts w:cstheme="minorHAnsi"/>
                <w:sz w:val="22"/>
                <w:szCs w:val="22"/>
              </w:rPr>
            </w:pPr>
            <w:r w:rsidRPr="00A7391C">
              <w:rPr>
                <w:rFonts w:cstheme="minorHAnsi"/>
                <w:sz w:val="22"/>
                <w:szCs w:val="22"/>
              </w:rPr>
              <w:t>% Target</w:t>
            </w:r>
          </w:p>
        </w:tc>
      </w:tr>
      <w:tr w:rsidR="008778C8" w:rsidRPr="00A7391C" w14:paraId="79C95767" w14:textId="77777777" w:rsidTr="006538AF">
        <w:trPr>
          <w:trHeight w:val="71"/>
        </w:trPr>
        <w:tc>
          <w:tcPr>
            <w:tcW w:w="1099" w:type="dxa"/>
          </w:tcPr>
          <w:p w14:paraId="490D3C98" w14:textId="5F5CAC4F" w:rsidR="008778C8" w:rsidRPr="00A7391C" w:rsidRDefault="003A6994" w:rsidP="00B91F97">
            <w:pPr>
              <w:jc w:val="both"/>
              <w:rPr>
                <w:rFonts w:cstheme="minorHAnsi"/>
              </w:rPr>
            </w:pPr>
            <w:r>
              <w:rPr>
                <w:rFonts w:cstheme="minorHAnsi"/>
              </w:rPr>
              <w:t>6.2</w:t>
            </w:r>
          </w:p>
        </w:tc>
        <w:tc>
          <w:tcPr>
            <w:tcW w:w="1040" w:type="dxa"/>
            <w:shd w:val="clear" w:color="auto" w:fill="F2F2F2" w:themeFill="background1" w:themeFillShade="F2"/>
          </w:tcPr>
          <w:p w14:paraId="1BDA6F3C" w14:textId="3E9FB626" w:rsidR="008778C8"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25EA065F" w14:textId="101BB7E2" w:rsidR="008778C8" w:rsidRPr="00A7391C" w:rsidRDefault="006538AF" w:rsidP="00B91F97">
            <w:pPr>
              <w:jc w:val="center"/>
              <w:rPr>
                <w:rFonts w:cstheme="minorHAnsi"/>
              </w:rPr>
            </w:pPr>
            <w:r>
              <w:rPr>
                <w:rFonts w:cstheme="minorHAnsi"/>
              </w:rPr>
              <w:t>0</w:t>
            </w:r>
          </w:p>
        </w:tc>
        <w:tc>
          <w:tcPr>
            <w:tcW w:w="1106" w:type="dxa"/>
          </w:tcPr>
          <w:p w14:paraId="1E033F7C" w14:textId="44CF2860" w:rsidR="008778C8" w:rsidRPr="00A7391C" w:rsidRDefault="006538AF" w:rsidP="00B91F97">
            <w:pPr>
              <w:jc w:val="center"/>
              <w:rPr>
                <w:rFonts w:cstheme="minorHAnsi"/>
              </w:rPr>
            </w:pPr>
            <w:r>
              <w:rPr>
                <w:rFonts w:cstheme="minorHAnsi"/>
              </w:rPr>
              <w:t>2</w:t>
            </w:r>
          </w:p>
        </w:tc>
        <w:tc>
          <w:tcPr>
            <w:tcW w:w="1188" w:type="dxa"/>
          </w:tcPr>
          <w:p w14:paraId="7DA72AC5" w14:textId="4B37BF00" w:rsidR="008778C8" w:rsidRPr="00A7391C" w:rsidRDefault="006538AF" w:rsidP="00B91F97">
            <w:pPr>
              <w:jc w:val="center"/>
              <w:rPr>
                <w:rFonts w:cstheme="minorHAnsi"/>
              </w:rPr>
            </w:pPr>
            <w:r>
              <w:rPr>
                <w:rFonts w:cstheme="minorHAnsi"/>
              </w:rPr>
              <w:t>0</w:t>
            </w:r>
          </w:p>
        </w:tc>
        <w:tc>
          <w:tcPr>
            <w:tcW w:w="997" w:type="dxa"/>
            <w:shd w:val="clear" w:color="auto" w:fill="F2F2F2" w:themeFill="background1" w:themeFillShade="F2"/>
          </w:tcPr>
          <w:p w14:paraId="1120C6A6" w14:textId="22E08C88" w:rsidR="008778C8" w:rsidRPr="00A7391C" w:rsidRDefault="006538AF" w:rsidP="00B91F97">
            <w:pPr>
              <w:jc w:val="center"/>
              <w:rPr>
                <w:rFonts w:cstheme="minorHAnsi"/>
              </w:rPr>
            </w:pPr>
            <w:r>
              <w:rPr>
                <w:rFonts w:cstheme="minorHAnsi"/>
              </w:rPr>
              <w:t>8</w:t>
            </w:r>
          </w:p>
        </w:tc>
        <w:tc>
          <w:tcPr>
            <w:tcW w:w="1187" w:type="dxa"/>
            <w:shd w:val="clear" w:color="auto" w:fill="F2F2F2" w:themeFill="background1" w:themeFillShade="F2"/>
          </w:tcPr>
          <w:p w14:paraId="3171842E" w14:textId="2937E81F" w:rsidR="008778C8" w:rsidRPr="00A7391C" w:rsidRDefault="006538AF" w:rsidP="00B91F97">
            <w:pPr>
              <w:jc w:val="center"/>
              <w:rPr>
                <w:rFonts w:cstheme="minorHAnsi"/>
              </w:rPr>
            </w:pPr>
            <w:r>
              <w:rPr>
                <w:rFonts w:cstheme="minorHAnsi"/>
              </w:rPr>
              <w:t>3</w:t>
            </w:r>
          </w:p>
        </w:tc>
        <w:tc>
          <w:tcPr>
            <w:tcW w:w="1170" w:type="dxa"/>
          </w:tcPr>
          <w:p w14:paraId="6AE8A330" w14:textId="5D0095F4" w:rsidR="008778C8" w:rsidRPr="00A7391C" w:rsidRDefault="006538AF" w:rsidP="00B91F97">
            <w:pPr>
              <w:jc w:val="center"/>
              <w:rPr>
                <w:rFonts w:cstheme="minorHAnsi"/>
              </w:rPr>
            </w:pPr>
            <w:r>
              <w:rPr>
                <w:rFonts w:cstheme="minorHAnsi"/>
              </w:rPr>
              <w:t>85</w:t>
            </w:r>
          </w:p>
        </w:tc>
      </w:tr>
      <w:tr w:rsidR="008778C8" w:rsidRPr="00A7391C" w14:paraId="6C3A615E" w14:textId="77777777" w:rsidTr="006538AF">
        <w:tc>
          <w:tcPr>
            <w:tcW w:w="1099" w:type="dxa"/>
          </w:tcPr>
          <w:p w14:paraId="3C2B0B12" w14:textId="5CDDABD7" w:rsidR="008778C8" w:rsidRPr="00A7391C" w:rsidRDefault="003A6994" w:rsidP="00B91F97">
            <w:pPr>
              <w:jc w:val="both"/>
              <w:rPr>
                <w:rFonts w:cstheme="minorHAnsi"/>
              </w:rPr>
            </w:pPr>
            <w:r>
              <w:rPr>
                <w:rFonts w:cstheme="minorHAnsi"/>
              </w:rPr>
              <w:t>3.3</w:t>
            </w:r>
          </w:p>
        </w:tc>
        <w:tc>
          <w:tcPr>
            <w:tcW w:w="1040" w:type="dxa"/>
            <w:shd w:val="clear" w:color="auto" w:fill="F2F2F2" w:themeFill="background1" w:themeFillShade="F2"/>
          </w:tcPr>
          <w:p w14:paraId="5A5486BB" w14:textId="53AA967B" w:rsidR="008778C8"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77C1A1ED" w14:textId="525BC792" w:rsidR="008778C8" w:rsidRPr="00A7391C" w:rsidRDefault="006538AF" w:rsidP="00B91F97">
            <w:pPr>
              <w:jc w:val="center"/>
              <w:rPr>
                <w:rFonts w:cstheme="minorHAnsi"/>
              </w:rPr>
            </w:pPr>
            <w:r>
              <w:rPr>
                <w:rFonts w:cstheme="minorHAnsi"/>
              </w:rPr>
              <w:t>0</w:t>
            </w:r>
          </w:p>
        </w:tc>
        <w:tc>
          <w:tcPr>
            <w:tcW w:w="1106" w:type="dxa"/>
          </w:tcPr>
          <w:p w14:paraId="5A6DF3D0" w14:textId="4D461C1C" w:rsidR="008778C8" w:rsidRPr="00A7391C" w:rsidRDefault="006538AF" w:rsidP="00B91F97">
            <w:pPr>
              <w:jc w:val="center"/>
              <w:rPr>
                <w:rFonts w:cstheme="minorHAnsi"/>
              </w:rPr>
            </w:pPr>
            <w:r>
              <w:rPr>
                <w:rFonts w:cstheme="minorHAnsi"/>
              </w:rPr>
              <w:t>5</w:t>
            </w:r>
          </w:p>
        </w:tc>
        <w:tc>
          <w:tcPr>
            <w:tcW w:w="1188" w:type="dxa"/>
          </w:tcPr>
          <w:p w14:paraId="472F4FFF" w14:textId="293994EA" w:rsidR="008778C8" w:rsidRPr="00A7391C" w:rsidRDefault="006538AF" w:rsidP="00B91F97">
            <w:pPr>
              <w:jc w:val="center"/>
              <w:rPr>
                <w:rFonts w:cstheme="minorHAnsi"/>
              </w:rPr>
            </w:pPr>
            <w:r>
              <w:rPr>
                <w:rFonts w:cstheme="minorHAnsi"/>
              </w:rPr>
              <w:t>0</w:t>
            </w:r>
          </w:p>
        </w:tc>
        <w:tc>
          <w:tcPr>
            <w:tcW w:w="997" w:type="dxa"/>
            <w:shd w:val="clear" w:color="auto" w:fill="F2F2F2" w:themeFill="background1" w:themeFillShade="F2"/>
          </w:tcPr>
          <w:p w14:paraId="7D1CD6E1" w14:textId="00C012A5" w:rsidR="008778C8" w:rsidRPr="00A7391C" w:rsidRDefault="006538AF" w:rsidP="00B91F97">
            <w:pPr>
              <w:jc w:val="center"/>
              <w:rPr>
                <w:rFonts w:cstheme="minorHAnsi"/>
              </w:rPr>
            </w:pPr>
            <w:r>
              <w:rPr>
                <w:rFonts w:cstheme="minorHAnsi"/>
              </w:rPr>
              <w:t>5</w:t>
            </w:r>
          </w:p>
        </w:tc>
        <w:tc>
          <w:tcPr>
            <w:tcW w:w="1187" w:type="dxa"/>
            <w:shd w:val="clear" w:color="auto" w:fill="F2F2F2" w:themeFill="background1" w:themeFillShade="F2"/>
          </w:tcPr>
          <w:p w14:paraId="566C6F7F" w14:textId="3FBE984E" w:rsidR="008778C8" w:rsidRPr="00A7391C" w:rsidRDefault="006538AF" w:rsidP="00B91F97">
            <w:pPr>
              <w:jc w:val="center"/>
              <w:rPr>
                <w:rFonts w:cstheme="minorHAnsi"/>
              </w:rPr>
            </w:pPr>
            <w:r>
              <w:rPr>
                <w:rFonts w:cstheme="minorHAnsi"/>
              </w:rPr>
              <w:t>3</w:t>
            </w:r>
          </w:p>
        </w:tc>
        <w:tc>
          <w:tcPr>
            <w:tcW w:w="1170" w:type="dxa"/>
          </w:tcPr>
          <w:p w14:paraId="18FE3B6C" w14:textId="744F90CC" w:rsidR="008778C8" w:rsidRPr="00A7391C" w:rsidRDefault="006538AF" w:rsidP="00B91F97">
            <w:pPr>
              <w:jc w:val="center"/>
              <w:rPr>
                <w:rFonts w:cstheme="minorHAnsi"/>
              </w:rPr>
            </w:pPr>
            <w:r>
              <w:rPr>
                <w:rFonts w:cstheme="minorHAnsi"/>
              </w:rPr>
              <w:t>62</w:t>
            </w:r>
          </w:p>
        </w:tc>
      </w:tr>
      <w:tr w:rsidR="008778C8" w:rsidRPr="00A7391C" w14:paraId="09EFE6D5" w14:textId="77777777" w:rsidTr="006538AF">
        <w:tc>
          <w:tcPr>
            <w:tcW w:w="1099" w:type="dxa"/>
          </w:tcPr>
          <w:p w14:paraId="16B649C3" w14:textId="3A604219" w:rsidR="008778C8" w:rsidRPr="00A7391C" w:rsidRDefault="003A6994" w:rsidP="00B91F97">
            <w:pPr>
              <w:jc w:val="both"/>
              <w:rPr>
                <w:rFonts w:cstheme="minorHAnsi"/>
              </w:rPr>
            </w:pPr>
            <w:r>
              <w:rPr>
                <w:rFonts w:cstheme="minorHAnsi"/>
              </w:rPr>
              <w:t>7.4</w:t>
            </w:r>
          </w:p>
        </w:tc>
        <w:tc>
          <w:tcPr>
            <w:tcW w:w="1040" w:type="dxa"/>
            <w:shd w:val="clear" w:color="auto" w:fill="F2F2F2" w:themeFill="background1" w:themeFillShade="F2"/>
          </w:tcPr>
          <w:p w14:paraId="6A3885FE" w14:textId="3BAF2F0F" w:rsidR="008778C8"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15795E68" w14:textId="4AAD1343" w:rsidR="008778C8" w:rsidRPr="00A7391C" w:rsidRDefault="006538AF" w:rsidP="00B91F97">
            <w:pPr>
              <w:jc w:val="center"/>
              <w:rPr>
                <w:rFonts w:cstheme="minorHAnsi"/>
              </w:rPr>
            </w:pPr>
            <w:r>
              <w:rPr>
                <w:rFonts w:cstheme="minorHAnsi"/>
              </w:rPr>
              <w:t>0</w:t>
            </w:r>
          </w:p>
        </w:tc>
        <w:tc>
          <w:tcPr>
            <w:tcW w:w="1106" w:type="dxa"/>
          </w:tcPr>
          <w:p w14:paraId="6C277C4B" w14:textId="72615F61" w:rsidR="008778C8" w:rsidRPr="00A7391C" w:rsidRDefault="006538AF" w:rsidP="00B91F97">
            <w:pPr>
              <w:jc w:val="center"/>
              <w:rPr>
                <w:rFonts w:cstheme="minorHAnsi"/>
              </w:rPr>
            </w:pPr>
            <w:r>
              <w:rPr>
                <w:rFonts w:cstheme="minorHAnsi"/>
              </w:rPr>
              <w:t>0</w:t>
            </w:r>
          </w:p>
        </w:tc>
        <w:tc>
          <w:tcPr>
            <w:tcW w:w="1188" w:type="dxa"/>
          </w:tcPr>
          <w:p w14:paraId="41D83225" w14:textId="789AE153" w:rsidR="008778C8" w:rsidRPr="00A7391C" w:rsidRDefault="006538AF" w:rsidP="00B91F97">
            <w:pPr>
              <w:jc w:val="center"/>
              <w:rPr>
                <w:rFonts w:cstheme="minorHAnsi"/>
              </w:rPr>
            </w:pPr>
            <w:r>
              <w:rPr>
                <w:rFonts w:cstheme="minorHAnsi"/>
              </w:rPr>
              <w:t>1</w:t>
            </w:r>
          </w:p>
        </w:tc>
        <w:tc>
          <w:tcPr>
            <w:tcW w:w="997" w:type="dxa"/>
            <w:shd w:val="clear" w:color="auto" w:fill="F2F2F2" w:themeFill="background1" w:themeFillShade="F2"/>
          </w:tcPr>
          <w:p w14:paraId="1E089AAC" w14:textId="34F48C73" w:rsidR="008778C8" w:rsidRPr="00A7391C" w:rsidRDefault="006538AF" w:rsidP="00B91F97">
            <w:pPr>
              <w:jc w:val="center"/>
              <w:rPr>
                <w:rFonts w:cstheme="minorHAnsi"/>
              </w:rPr>
            </w:pPr>
            <w:r>
              <w:rPr>
                <w:rFonts w:cstheme="minorHAnsi"/>
              </w:rPr>
              <w:t>10</w:t>
            </w:r>
          </w:p>
        </w:tc>
        <w:tc>
          <w:tcPr>
            <w:tcW w:w="1187" w:type="dxa"/>
            <w:shd w:val="clear" w:color="auto" w:fill="F2F2F2" w:themeFill="background1" w:themeFillShade="F2"/>
          </w:tcPr>
          <w:p w14:paraId="4B227B2C" w14:textId="14D981C3" w:rsidR="008778C8" w:rsidRPr="00A7391C" w:rsidRDefault="006538AF" w:rsidP="00B91F97">
            <w:pPr>
              <w:jc w:val="center"/>
              <w:rPr>
                <w:rFonts w:cstheme="minorHAnsi"/>
              </w:rPr>
            </w:pPr>
            <w:r>
              <w:rPr>
                <w:rFonts w:cstheme="minorHAnsi"/>
              </w:rPr>
              <w:t>2</w:t>
            </w:r>
          </w:p>
        </w:tc>
        <w:tc>
          <w:tcPr>
            <w:tcW w:w="1170" w:type="dxa"/>
          </w:tcPr>
          <w:p w14:paraId="04DC13CA" w14:textId="6D7895D0" w:rsidR="008778C8" w:rsidRPr="00A7391C" w:rsidRDefault="006538AF" w:rsidP="00B91F97">
            <w:pPr>
              <w:jc w:val="center"/>
              <w:rPr>
                <w:rFonts w:cstheme="minorHAnsi"/>
              </w:rPr>
            </w:pPr>
            <w:r>
              <w:rPr>
                <w:rFonts w:cstheme="minorHAnsi"/>
              </w:rPr>
              <w:t>92</w:t>
            </w:r>
          </w:p>
        </w:tc>
      </w:tr>
      <w:tr w:rsidR="003A6994" w:rsidRPr="00A7391C" w14:paraId="509E0B30" w14:textId="77777777" w:rsidTr="006538AF">
        <w:tc>
          <w:tcPr>
            <w:tcW w:w="1099" w:type="dxa"/>
          </w:tcPr>
          <w:p w14:paraId="40FDE7A4" w14:textId="0F899F17" w:rsidR="003A6994" w:rsidRDefault="003A6994" w:rsidP="00B91F97">
            <w:pPr>
              <w:jc w:val="both"/>
              <w:rPr>
                <w:rFonts w:cstheme="minorHAnsi"/>
              </w:rPr>
            </w:pPr>
            <w:r>
              <w:rPr>
                <w:rFonts w:cstheme="minorHAnsi"/>
              </w:rPr>
              <w:t>1.2</w:t>
            </w:r>
          </w:p>
        </w:tc>
        <w:tc>
          <w:tcPr>
            <w:tcW w:w="1040" w:type="dxa"/>
            <w:shd w:val="clear" w:color="auto" w:fill="F2F2F2" w:themeFill="background1" w:themeFillShade="F2"/>
          </w:tcPr>
          <w:p w14:paraId="67AC6321" w14:textId="6CC8CFBF" w:rsidR="003A6994"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5B63E00C" w14:textId="6ED6CD7E" w:rsidR="003A6994" w:rsidRPr="00A7391C" w:rsidRDefault="006538AF" w:rsidP="00B91F97">
            <w:pPr>
              <w:jc w:val="center"/>
              <w:rPr>
                <w:rFonts w:cstheme="minorHAnsi"/>
              </w:rPr>
            </w:pPr>
            <w:r>
              <w:rPr>
                <w:rFonts w:cstheme="minorHAnsi"/>
              </w:rPr>
              <w:t>0</w:t>
            </w:r>
          </w:p>
        </w:tc>
        <w:tc>
          <w:tcPr>
            <w:tcW w:w="1106" w:type="dxa"/>
          </w:tcPr>
          <w:p w14:paraId="21971E41" w14:textId="2328C07A" w:rsidR="003A6994" w:rsidRPr="00A7391C" w:rsidRDefault="006538AF" w:rsidP="00B91F97">
            <w:pPr>
              <w:jc w:val="center"/>
              <w:rPr>
                <w:rFonts w:cstheme="minorHAnsi"/>
              </w:rPr>
            </w:pPr>
            <w:r>
              <w:rPr>
                <w:rFonts w:cstheme="minorHAnsi"/>
              </w:rPr>
              <w:t>3</w:t>
            </w:r>
          </w:p>
        </w:tc>
        <w:tc>
          <w:tcPr>
            <w:tcW w:w="1188" w:type="dxa"/>
          </w:tcPr>
          <w:p w14:paraId="3D705AB0" w14:textId="68C337EB" w:rsidR="003A6994" w:rsidRPr="00A7391C" w:rsidRDefault="006538AF" w:rsidP="00B91F97">
            <w:pPr>
              <w:jc w:val="center"/>
              <w:rPr>
                <w:rFonts w:cstheme="minorHAnsi"/>
              </w:rPr>
            </w:pPr>
            <w:r>
              <w:rPr>
                <w:rFonts w:cstheme="minorHAnsi"/>
              </w:rPr>
              <w:t>1</w:t>
            </w:r>
          </w:p>
        </w:tc>
        <w:tc>
          <w:tcPr>
            <w:tcW w:w="997" w:type="dxa"/>
            <w:shd w:val="clear" w:color="auto" w:fill="F2F2F2" w:themeFill="background1" w:themeFillShade="F2"/>
          </w:tcPr>
          <w:p w14:paraId="1A53D8D3" w14:textId="7F6E6D7D" w:rsidR="003A6994" w:rsidRPr="00A7391C" w:rsidRDefault="006538AF" w:rsidP="00B91F97">
            <w:pPr>
              <w:jc w:val="center"/>
              <w:rPr>
                <w:rFonts w:cstheme="minorHAnsi"/>
              </w:rPr>
            </w:pPr>
            <w:r>
              <w:rPr>
                <w:rFonts w:cstheme="minorHAnsi"/>
              </w:rPr>
              <w:t>7</w:t>
            </w:r>
          </w:p>
        </w:tc>
        <w:tc>
          <w:tcPr>
            <w:tcW w:w="1187" w:type="dxa"/>
            <w:shd w:val="clear" w:color="auto" w:fill="F2F2F2" w:themeFill="background1" w:themeFillShade="F2"/>
          </w:tcPr>
          <w:p w14:paraId="1DB1C3B0" w14:textId="6528310B" w:rsidR="003A6994" w:rsidRPr="00A7391C" w:rsidRDefault="006538AF" w:rsidP="00B91F97">
            <w:pPr>
              <w:jc w:val="center"/>
              <w:rPr>
                <w:rFonts w:cstheme="minorHAnsi"/>
              </w:rPr>
            </w:pPr>
            <w:r>
              <w:rPr>
                <w:rFonts w:cstheme="minorHAnsi"/>
              </w:rPr>
              <w:t>2</w:t>
            </w:r>
          </w:p>
        </w:tc>
        <w:tc>
          <w:tcPr>
            <w:tcW w:w="1170" w:type="dxa"/>
          </w:tcPr>
          <w:p w14:paraId="47ACF0C8" w14:textId="2AB38AA4" w:rsidR="003A6994" w:rsidRPr="00A7391C" w:rsidRDefault="006538AF" w:rsidP="00B91F97">
            <w:pPr>
              <w:jc w:val="center"/>
              <w:rPr>
                <w:rFonts w:cstheme="minorHAnsi"/>
              </w:rPr>
            </w:pPr>
            <w:r>
              <w:rPr>
                <w:rFonts w:cstheme="minorHAnsi"/>
              </w:rPr>
              <w:t>69</w:t>
            </w:r>
          </w:p>
        </w:tc>
      </w:tr>
      <w:tr w:rsidR="003A6994" w:rsidRPr="00A7391C" w14:paraId="64A73C3D" w14:textId="77777777" w:rsidTr="006538AF">
        <w:tc>
          <w:tcPr>
            <w:tcW w:w="1099" w:type="dxa"/>
          </w:tcPr>
          <w:p w14:paraId="5A2004CE" w14:textId="15B26B0B" w:rsidR="003A6994" w:rsidRDefault="003A6994" w:rsidP="00B91F97">
            <w:pPr>
              <w:jc w:val="both"/>
              <w:rPr>
                <w:rFonts w:cstheme="minorHAnsi"/>
              </w:rPr>
            </w:pPr>
            <w:r>
              <w:rPr>
                <w:rFonts w:cstheme="minorHAnsi"/>
              </w:rPr>
              <w:t>7.2</w:t>
            </w:r>
          </w:p>
        </w:tc>
        <w:tc>
          <w:tcPr>
            <w:tcW w:w="1040" w:type="dxa"/>
            <w:shd w:val="clear" w:color="auto" w:fill="F2F2F2" w:themeFill="background1" w:themeFillShade="F2"/>
          </w:tcPr>
          <w:p w14:paraId="196540E9" w14:textId="41964566" w:rsidR="003A6994"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5C77D79A" w14:textId="3CF11FD0" w:rsidR="003A6994" w:rsidRPr="00A7391C" w:rsidRDefault="006538AF" w:rsidP="00B91F97">
            <w:pPr>
              <w:jc w:val="center"/>
              <w:rPr>
                <w:rFonts w:cstheme="minorHAnsi"/>
              </w:rPr>
            </w:pPr>
            <w:r>
              <w:rPr>
                <w:rFonts w:cstheme="minorHAnsi"/>
              </w:rPr>
              <w:t>0</w:t>
            </w:r>
          </w:p>
        </w:tc>
        <w:tc>
          <w:tcPr>
            <w:tcW w:w="1106" w:type="dxa"/>
          </w:tcPr>
          <w:p w14:paraId="7C97082E" w14:textId="02C02C81" w:rsidR="003A6994" w:rsidRPr="00A7391C" w:rsidRDefault="006538AF" w:rsidP="00B91F97">
            <w:pPr>
              <w:jc w:val="center"/>
              <w:rPr>
                <w:rFonts w:cstheme="minorHAnsi"/>
              </w:rPr>
            </w:pPr>
            <w:r>
              <w:rPr>
                <w:rFonts w:cstheme="minorHAnsi"/>
              </w:rPr>
              <w:t>2</w:t>
            </w:r>
          </w:p>
        </w:tc>
        <w:tc>
          <w:tcPr>
            <w:tcW w:w="1188" w:type="dxa"/>
          </w:tcPr>
          <w:p w14:paraId="4921D9BA" w14:textId="1C9501F4" w:rsidR="003A6994" w:rsidRPr="00A7391C" w:rsidRDefault="006538AF" w:rsidP="00B91F97">
            <w:pPr>
              <w:jc w:val="center"/>
              <w:rPr>
                <w:rFonts w:cstheme="minorHAnsi"/>
              </w:rPr>
            </w:pPr>
            <w:r>
              <w:rPr>
                <w:rFonts w:cstheme="minorHAnsi"/>
              </w:rPr>
              <w:t>0</w:t>
            </w:r>
          </w:p>
        </w:tc>
        <w:tc>
          <w:tcPr>
            <w:tcW w:w="997" w:type="dxa"/>
            <w:shd w:val="clear" w:color="auto" w:fill="F2F2F2" w:themeFill="background1" w:themeFillShade="F2"/>
          </w:tcPr>
          <w:p w14:paraId="32AA88B7" w14:textId="1393F19C" w:rsidR="003A6994" w:rsidRPr="00A7391C" w:rsidRDefault="006538AF" w:rsidP="00B91F97">
            <w:pPr>
              <w:jc w:val="center"/>
              <w:rPr>
                <w:rFonts w:cstheme="minorHAnsi"/>
              </w:rPr>
            </w:pPr>
            <w:r>
              <w:rPr>
                <w:rFonts w:cstheme="minorHAnsi"/>
              </w:rPr>
              <w:t>8</w:t>
            </w:r>
          </w:p>
        </w:tc>
        <w:tc>
          <w:tcPr>
            <w:tcW w:w="1187" w:type="dxa"/>
            <w:shd w:val="clear" w:color="auto" w:fill="F2F2F2" w:themeFill="background1" w:themeFillShade="F2"/>
          </w:tcPr>
          <w:p w14:paraId="534BADA5" w14:textId="40B86060" w:rsidR="003A6994" w:rsidRPr="00A7391C" w:rsidRDefault="006538AF" w:rsidP="00B91F97">
            <w:pPr>
              <w:jc w:val="center"/>
              <w:rPr>
                <w:rFonts w:cstheme="minorHAnsi"/>
              </w:rPr>
            </w:pPr>
            <w:r>
              <w:rPr>
                <w:rFonts w:cstheme="minorHAnsi"/>
              </w:rPr>
              <w:t>3</w:t>
            </w:r>
          </w:p>
        </w:tc>
        <w:tc>
          <w:tcPr>
            <w:tcW w:w="1170" w:type="dxa"/>
          </w:tcPr>
          <w:p w14:paraId="195172A1" w14:textId="0F74F0C8" w:rsidR="003A6994" w:rsidRPr="00A7391C" w:rsidRDefault="006538AF" w:rsidP="00B91F97">
            <w:pPr>
              <w:jc w:val="center"/>
              <w:rPr>
                <w:rFonts w:cstheme="minorHAnsi"/>
              </w:rPr>
            </w:pPr>
            <w:r>
              <w:rPr>
                <w:rFonts w:cstheme="minorHAnsi"/>
              </w:rPr>
              <w:t>85</w:t>
            </w:r>
          </w:p>
        </w:tc>
      </w:tr>
      <w:tr w:rsidR="003A6994" w:rsidRPr="00A7391C" w14:paraId="483FA290" w14:textId="77777777" w:rsidTr="006538AF">
        <w:tc>
          <w:tcPr>
            <w:tcW w:w="1099" w:type="dxa"/>
          </w:tcPr>
          <w:p w14:paraId="7EBEE160" w14:textId="16365998" w:rsidR="003A6994" w:rsidRDefault="003A6994" w:rsidP="00B91F97">
            <w:pPr>
              <w:jc w:val="both"/>
              <w:rPr>
                <w:rFonts w:cstheme="minorHAnsi"/>
              </w:rPr>
            </w:pPr>
            <w:r>
              <w:rPr>
                <w:rFonts w:cstheme="minorHAnsi"/>
              </w:rPr>
              <w:t>7.3</w:t>
            </w:r>
          </w:p>
        </w:tc>
        <w:tc>
          <w:tcPr>
            <w:tcW w:w="1040" w:type="dxa"/>
            <w:shd w:val="clear" w:color="auto" w:fill="F2F2F2" w:themeFill="background1" w:themeFillShade="F2"/>
          </w:tcPr>
          <w:p w14:paraId="7BD90B52" w14:textId="095E4C87" w:rsidR="003A6994" w:rsidRPr="00A7391C" w:rsidRDefault="006538AF" w:rsidP="00B91F97">
            <w:pPr>
              <w:jc w:val="center"/>
              <w:rPr>
                <w:rFonts w:cstheme="minorHAnsi"/>
              </w:rPr>
            </w:pPr>
            <w:r>
              <w:rPr>
                <w:rFonts w:cstheme="minorHAnsi"/>
              </w:rPr>
              <w:t>0</w:t>
            </w:r>
          </w:p>
        </w:tc>
        <w:tc>
          <w:tcPr>
            <w:tcW w:w="1208" w:type="dxa"/>
            <w:shd w:val="clear" w:color="auto" w:fill="F2F2F2" w:themeFill="background1" w:themeFillShade="F2"/>
          </w:tcPr>
          <w:p w14:paraId="509434E9" w14:textId="01AA81FB" w:rsidR="003A6994" w:rsidRPr="00A7391C" w:rsidRDefault="006538AF" w:rsidP="00B91F97">
            <w:pPr>
              <w:jc w:val="center"/>
              <w:rPr>
                <w:rFonts w:cstheme="minorHAnsi"/>
              </w:rPr>
            </w:pPr>
            <w:r>
              <w:rPr>
                <w:rFonts w:cstheme="minorHAnsi"/>
              </w:rPr>
              <w:t>0</w:t>
            </w:r>
          </w:p>
        </w:tc>
        <w:tc>
          <w:tcPr>
            <w:tcW w:w="1106" w:type="dxa"/>
          </w:tcPr>
          <w:p w14:paraId="60BEACAE" w14:textId="18D052D9" w:rsidR="003A6994" w:rsidRPr="00A7391C" w:rsidRDefault="006538AF" w:rsidP="00B91F97">
            <w:pPr>
              <w:jc w:val="center"/>
              <w:rPr>
                <w:rFonts w:cstheme="minorHAnsi"/>
              </w:rPr>
            </w:pPr>
            <w:r>
              <w:rPr>
                <w:rFonts w:cstheme="minorHAnsi"/>
              </w:rPr>
              <w:t>1</w:t>
            </w:r>
          </w:p>
        </w:tc>
        <w:tc>
          <w:tcPr>
            <w:tcW w:w="1188" w:type="dxa"/>
          </w:tcPr>
          <w:p w14:paraId="0DF3677B" w14:textId="1B78AEE8" w:rsidR="003A6994" w:rsidRPr="00A7391C" w:rsidRDefault="006538AF" w:rsidP="00B91F97">
            <w:pPr>
              <w:jc w:val="center"/>
              <w:rPr>
                <w:rFonts w:cstheme="minorHAnsi"/>
              </w:rPr>
            </w:pPr>
            <w:r>
              <w:rPr>
                <w:rFonts w:cstheme="minorHAnsi"/>
              </w:rPr>
              <w:t>0</w:t>
            </w:r>
          </w:p>
        </w:tc>
        <w:tc>
          <w:tcPr>
            <w:tcW w:w="997" w:type="dxa"/>
            <w:shd w:val="clear" w:color="auto" w:fill="F2F2F2" w:themeFill="background1" w:themeFillShade="F2"/>
          </w:tcPr>
          <w:p w14:paraId="4DD58C1C" w14:textId="3943A017" w:rsidR="003A6994" w:rsidRPr="00A7391C" w:rsidRDefault="006538AF" w:rsidP="00B91F97">
            <w:pPr>
              <w:jc w:val="center"/>
              <w:rPr>
                <w:rFonts w:cstheme="minorHAnsi"/>
              </w:rPr>
            </w:pPr>
            <w:r>
              <w:rPr>
                <w:rFonts w:cstheme="minorHAnsi"/>
              </w:rPr>
              <w:t>9</w:t>
            </w:r>
          </w:p>
        </w:tc>
        <w:tc>
          <w:tcPr>
            <w:tcW w:w="1187" w:type="dxa"/>
            <w:shd w:val="clear" w:color="auto" w:fill="F2F2F2" w:themeFill="background1" w:themeFillShade="F2"/>
          </w:tcPr>
          <w:p w14:paraId="146CF161" w14:textId="0FC91C72" w:rsidR="003A6994" w:rsidRPr="00A7391C" w:rsidRDefault="006538AF" w:rsidP="00B91F97">
            <w:pPr>
              <w:jc w:val="center"/>
              <w:rPr>
                <w:rFonts w:cstheme="minorHAnsi"/>
              </w:rPr>
            </w:pPr>
            <w:r>
              <w:rPr>
                <w:rFonts w:cstheme="minorHAnsi"/>
              </w:rPr>
              <w:t>3</w:t>
            </w:r>
          </w:p>
        </w:tc>
        <w:tc>
          <w:tcPr>
            <w:tcW w:w="1170" w:type="dxa"/>
          </w:tcPr>
          <w:p w14:paraId="3274DC99" w14:textId="553ACB9F" w:rsidR="003A6994" w:rsidRPr="00A7391C" w:rsidRDefault="006538AF" w:rsidP="00B91F97">
            <w:pPr>
              <w:jc w:val="center"/>
              <w:rPr>
                <w:rFonts w:cstheme="minorHAnsi"/>
              </w:rPr>
            </w:pPr>
            <w:r>
              <w:rPr>
                <w:rFonts w:cstheme="minorHAnsi"/>
              </w:rPr>
              <w:t>92</w:t>
            </w:r>
          </w:p>
        </w:tc>
      </w:tr>
    </w:tbl>
    <w:p w14:paraId="50018864" w14:textId="77777777" w:rsidR="00CF52DB" w:rsidRDefault="004D5E06"/>
    <w:sectPr w:rsidR="00CF52DB"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36805"/>
    <w:multiLevelType w:val="hybridMultilevel"/>
    <w:tmpl w:val="B89A8C1E"/>
    <w:lvl w:ilvl="0" w:tplc="04090007">
      <w:start w:val="1"/>
      <w:numFmt w:val="bullet"/>
      <w:lvlText w:val=""/>
      <w:lvlJc w:val="left"/>
      <w:pPr>
        <w:tabs>
          <w:tab w:val="num" w:pos="720"/>
        </w:tabs>
        <w:ind w:left="720" w:hanging="360"/>
      </w:pPr>
      <w:rPr>
        <w:rFonts w:ascii="Wingdings" w:hAnsi="Wingdings" w:hint="default"/>
        <w:sz w:val="16"/>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C8"/>
    <w:rsid w:val="000A36ED"/>
    <w:rsid w:val="000E5709"/>
    <w:rsid w:val="001E6C68"/>
    <w:rsid w:val="002B7C02"/>
    <w:rsid w:val="002E6D53"/>
    <w:rsid w:val="003562A6"/>
    <w:rsid w:val="003A6994"/>
    <w:rsid w:val="003E133F"/>
    <w:rsid w:val="00420776"/>
    <w:rsid w:val="004D5E06"/>
    <w:rsid w:val="006538AF"/>
    <w:rsid w:val="006F6AFF"/>
    <w:rsid w:val="008778C8"/>
    <w:rsid w:val="0091221E"/>
    <w:rsid w:val="00973C7B"/>
    <w:rsid w:val="00A95D27"/>
    <w:rsid w:val="00AD1F1C"/>
    <w:rsid w:val="00B57634"/>
    <w:rsid w:val="00B95A88"/>
    <w:rsid w:val="00BA6CB6"/>
    <w:rsid w:val="00C56C40"/>
    <w:rsid w:val="00CB4144"/>
    <w:rsid w:val="00D011D5"/>
    <w:rsid w:val="00DB759B"/>
    <w:rsid w:val="00E61626"/>
    <w:rsid w:val="00ED17AC"/>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6C843"/>
  <w15:chartTrackingRefBased/>
  <w15:docId w15:val="{39D090F4-BC8B-A44C-8A76-5C83ED59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778C8"/>
    <w:pPr>
      <w:keepNext/>
      <w:keepLines/>
      <w:spacing w:before="40" w:line="288" w:lineRule="auto"/>
      <w:outlineLvl w:val="2"/>
    </w:pPr>
    <w:rPr>
      <w:rFonts w:asciiTheme="majorHAnsi" w:eastAsiaTheme="majorEastAsia" w:hAnsiTheme="majorHAnsi" w:cstheme="majorBidi"/>
      <w:color w:val="1F3763" w:themeColor="accent1" w:themeShade="7F"/>
      <w:lang w:eastAsia="ja-JP"/>
    </w:rPr>
  </w:style>
  <w:style w:type="paragraph" w:styleId="Heading4">
    <w:name w:val="heading 4"/>
    <w:basedOn w:val="Normal"/>
    <w:next w:val="Normal"/>
    <w:link w:val="Heading4Char"/>
    <w:uiPriority w:val="9"/>
    <w:semiHidden/>
    <w:unhideWhenUsed/>
    <w:qFormat/>
    <w:rsid w:val="00877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778C8"/>
    <w:pPr>
      <w:keepNext/>
      <w:keepLines/>
      <w:spacing w:before="40" w:line="288" w:lineRule="auto"/>
      <w:outlineLvl w:val="5"/>
    </w:pPr>
    <w:rPr>
      <w:rFonts w:asciiTheme="majorHAnsi" w:eastAsiaTheme="majorEastAsia" w:hAnsiTheme="majorHAnsi" w:cstheme="majorBidi"/>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778C8"/>
    <w:rPr>
      <w:rFonts w:asciiTheme="majorHAnsi" w:eastAsiaTheme="majorEastAsia" w:hAnsiTheme="majorHAnsi" w:cstheme="majorBidi"/>
      <w:color w:val="1F3763" w:themeColor="accent1" w:themeShade="7F"/>
      <w:lang w:eastAsia="ja-JP"/>
    </w:rPr>
  </w:style>
  <w:style w:type="character" w:customStyle="1" w:styleId="Heading4Char">
    <w:name w:val="Heading 4 Char"/>
    <w:basedOn w:val="DefaultParagraphFont"/>
    <w:link w:val="Heading4"/>
    <w:uiPriority w:val="9"/>
    <w:semiHidden/>
    <w:rsid w:val="008778C8"/>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8778C8"/>
    <w:rPr>
      <w:rFonts w:asciiTheme="majorHAnsi" w:eastAsiaTheme="majorEastAsia" w:hAnsiTheme="majorHAnsi" w:cstheme="majorBidi"/>
      <w:color w:val="1F3763" w:themeColor="accent1" w:themeShade="7F"/>
      <w:sz w:val="18"/>
      <w:szCs w:val="18"/>
      <w:lang w:eastAsia="ja-JP"/>
    </w:rPr>
  </w:style>
  <w:style w:type="table" w:styleId="TableGrid">
    <w:name w:val="Table Grid"/>
    <w:basedOn w:val="TableNormal"/>
    <w:uiPriority w:val="39"/>
    <w:rsid w:val="00877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6</cp:revision>
  <dcterms:created xsi:type="dcterms:W3CDTF">2020-01-30T16:01:00Z</dcterms:created>
  <dcterms:modified xsi:type="dcterms:W3CDTF">2020-02-08T18:26:00Z</dcterms:modified>
</cp:coreProperties>
</file>