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64B21" w14:textId="6F01069F" w:rsidR="00CF52DB" w:rsidRPr="008E7BD4" w:rsidRDefault="00225A64" w:rsidP="00225A64">
      <w:pPr>
        <w:jc w:val="center"/>
        <w:rPr>
          <w:rFonts w:cstheme="minorHAnsi"/>
          <w:b/>
          <w:bCs/>
        </w:rPr>
      </w:pPr>
      <w:r w:rsidRPr="008E7BD4">
        <w:rPr>
          <w:rFonts w:cstheme="minorHAnsi"/>
          <w:b/>
          <w:bCs/>
        </w:rPr>
        <w:t>Assessment</w:t>
      </w:r>
      <w:r w:rsidR="00DE6E0B" w:rsidRPr="008E7BD4">
        <w:rPr>
          <w:rFonts w:cstheme="minorHAnsi"/>
          <w:b/>
          <w:bCs/>
        </w:rPr>
        <w:t xml:space="preserve"> </w:t>
      </w:r>
      <w:r w:rsidR="005C4D08" w:rsidRPr="008E7BD4">
        <w:rPr>
          <w:rFonts w:cstheme="minorHAnsi"/>
          <w:b/>
          <w:bCs/>
        </w:rPr>
        <w:t>3</w:t>
      </w:r>
      <w:r w:rsidR="00DE6E0B" w:rsidRPr="008E7BD4">
        <w:rPr>
          <w:rFonts w:cstheme="minorHAnsi"/>
          <w:b/>
          <w:bCs/>
        </w:rPr>
        <w:t xml:space="preserve">: Curriculum Analysis </w:t>
      </w:r>
      <w:r w:rsidR="005C4D08" w:rsidRPr="008E7BD4">
        <w:rPr>
          <w:rFonts w:cstheme="minorHAnsi"/>
          <w:b/>
          <w:bCs/>
        </w:rPr>
        <w:t>Project</w:t>
      </w:r>
    </w:p>
    <w:p w14:paraId="0080497F" w14:textId="54903021" w:rsidR="00225A64" w:rsidRPr="008E7BD4" w:rsidRDefault="00225A64" w:rsidP="00225A64">
      <w:pPr>
        <w:jc w:val="center"/>
        <w:rPr>
          <w:rFonts w:cstheme="minorHAnsi"/>
          <w:b/>
          <w:bCs/>
        </w:rPr>
      </w:pPr>
    </w:p>
    <w:p w14:paraId="60C00943" w14:textId="44B0EF3D" w:rsidR="00456412" w:rsidRPr="008E7BD4" w:rsidRDefault="00456412" w:rsidP="00225A64">
      <w:pPr>
        <w:jc w:val="both"/>
        <w:rPr>
          <w:rFonts w:cstheme="minorHAnsi"/>
          <w:b/>
          <w:bCs/>
          <w:color w:val="000000" w:themeColor="text1"/>
          <w:u w:val="single"/>
        </w:rPr>
      </w:pPr>
      <w:r w:rsidRPr="008E7BD4">
        <w:rPr>
          <w:rFonts w:cstheme="minorHAnsi"/>
          <w:b/>
          <w:bCs/>
          <w:color w:val="000000" w:themeColor="text1"/>
          <w:u w:val="single"/>
        </w:rPr>
        <w:t>Part 1</w:t>
      </w:r>
    </w:p>
    <w:p w14:paraId="0C8EC5E2" w14:textId="52BABBB6" w:rsidR="00225A64" w:rsidRPr="008E7BD4" w:rsidRDefault="00225A64" w:rsidP="00225A64">
      <w:pPr>
        <w:jc w:val="both"/>
        <w:rPr>
          <w:rFonts w:cstheme="minorHAnsi"/>
          <w:b/>
          <w:bCs/>
          <w:color w:val="000000" w:themeColor="text1"/>
        </w:rPr>
      </w:pPr>
      <w:r w:rsidRPr="008E7BD4">
        <w:rPr>
          <w:rFonts w:cstheme="minorHAnsi"/>
          <w:b/>
          <w:bCs/>
          <w:color w:val="000000" w:themeColor="text1"/>
        </w:rPr>
        <w:t>a. Assessment</w:t>
      </w:r>
    </w:p>
    <w:p w14:paraId="29C3364E" w14:textId="6ADC4D41" w:rsidR="00DE6E0B" w:rsidRPr="00CB77BC" w:rsidRDefault="00DE6E0B" w:rsidP="00DE6E0B">
      <w:pPr>
        <w:rPr>
          <w:rFonts w:cstheme="minorHAnsi"/>
          <w:color w:val="000000" w:themeColor="text1"/>
        </w:rPr>
      </w:pPr>
      <w:r w:rsidRPr="008E7BD4">
        <w:rPr>
          <w:rFonts w:cstheme="minorHAnsi"/>
          <w:color w:val="000000" w:themeColor="text1"/>
        </w:rPr>
        <w:t>All Master’s and Post-Masters candidates in Educational Leadership are required to complete a Curriculum Analysis P</w:t>
      </w:r>
      <w:r w:rsidR="005C4D08" w:rsidRPr="008E7BD4">
        <w:rPr>
          <w:rFonts w:cstheme="minorHAnsi"/>
          <w:color w:val="000000" w:themeColor="text1"/>
        </w:rPr>
        <w:t>roject</w:t>
      </w:r>
      <w:r w:rsidRPr="008E7BD4">
        <w:rPr>
          <w:rFonts w:cstheme="minorHAnsi"/>
          <w:color w:val="000000" w:themeColor="text1"/>
        </w:rPr>
        <w:t xml:space="preserve">. </w:t>
      </w:r>
      <w:r w:rsidR="001D7CC1" w:rsidRPr="008E7BD4">
        <w:rPr>
          <w:rFonts w:cstheme="minorHAnsi"/>
          <w:color w:val="000000" w:themeColor="text1"/>
        </w:rPr>
        <w:t>TCNJ faculty</w:t>
      </w:r>
      <w:r w:rsidRPr="008E7BD4">
        <w:rPr>
          <w:rFonts w:cstheme="minorHAnsi"/>
          <w:color w:val="000000" w:themeColor="text1"/>
        </w:rPr>
        <w:t xml:space="preserve"> designed this assessment for </w:t>
      </w:r>
      <w:r w:rsidR="00956405" w:rsidRPr="008E7BD4">
        <w:rPr>
          <w:rFonts w:cstheme="minorHAnsi"/>
          <w:color w:val="000000" w:themeColor="text1"/>
        </w:rPr>
        <w:t>candidate</w:t>
      </w:r>
      <w:r w:rsidRPr="008E7BD4">
        <w:rPr>
          <w:rFonts w:cstheme="minorHAnsi"/>
          <w:color w:val="000000" w:themeColor="text1"/>
        </w:rPr>
        <w:t>s to demonstrate their ability to influence teaching and learning through the design of coherent curriculum and systems of instruction</w:t>
      </w:r>
      <w:r w:rsidR="00CB77BC">
        <w:rPr>
          <w:rFonts w:cstheme="minorHAnsi"/>
          <w:color w:val="000000" w:themeColor="text1"/>
        </w:rPr>
        <w:t xml:space="preserve"> by e</w:t>
      </w:r>
      <w:r w:rsidR="005C4D08" w:rsidRPr="008E7BD4">
        <w:rPr>
          <w:rFonts w:cstheme="minorHAnsi"/>
          <w:color w:val="000000" w:themeColor="text1"/>
        </w:rPr>
        <w:t>valuat</w:t>
      </w:r>
      <w:r w:rsidR="00CB77BC">
        <w:rPr>
          <w:rFonts w:cstheme="minorHAnsi"/>
          <w:color w:val="000000" w:themeColor="text1"/>
        </w:rPr>
        <w:t>ing the various elements of</w:t>
      </w:r>
      <w:r w:rsidR="005C4D08" w:rsidRPr="008E7BD4">
        <w:rPr>
          <w:rFonts w:cstheme="minorHAnsi"/>
          <w:color w:val="000000" w:themeColor="text1"/>
        </w:rPr>
        <w:t xml:space="preserve"> a curricular unit and mak</w:t>
      </w:r>
      <w:r w:rsidR="00CB77BC">
        <w:rPr>
          <w:rFonts w:cstheme="minorHAnsi"/>
          <w:color w:val="000000" w:themeColor="text1"/>
        </w:rPr>
        <w:t>ing</w:t>
      </w:r>
      <w:r w:rsidR="005C4D08" w:rsidRPr="008E7BD4">
        <w:rPr>
          <w:rFonts w:cstheme="minorHAnsi"/>
          <w:color w:val="000000" w:themeColor="text1"/>
        </w:rPr>
        <w:t xml:space="preserve"> recommendations for improv</w:t>
      </w:r>
      <w:r w:rsidR="00CB77BC">
        <w:rPr>
          <w:rFonts w:cstheme="minorHAnsi"/>
          <w:color w:val="000000" w:themeColor="text1"/>
        </w:rPr>
        <w:t>ement</w:t>
      </w:r>
      <w:r w:rsidR="005C4D08" w:rsidRPr="008E7BD4">
        <w:rPr>
          <w:rFonts w:cstheme="minorHAnsi"/>
          <w:color w:val="000000" w:themeColor="text1"/>
        </w:rPr>
        <w:t xml:space="preserve">. </w:t>
      </w:r>
      <w:r w:rsidR="00956405" w:rsidRPr="008E7BD4">
        <w:rPr>
          <w:rFonts w:cstheme="minorHAnsi"/>
          <w:color w:val="000000" w:themeColor="text1"/>
        </w:rPr>
        <w:t>Candidate</w:t>
      </w:r>
      <w:r w:rsidRPr="008E7BD4">
        <w:rPr>
          <w:rFonts w:cstheme="minorHAnsi"/>
          <w:color w:val="000000" w:themeColor="text1"/>
        </w:rPr>
        <w:t>s complete this assessment once toward the end of the required course CURR 514. Results and feedback are shared with the educational leadership candidates using the Canvas</w:t>
      </w:r>
      <w:r w:rsidR="001D7CC1" w:rsidRPr="008E7BD4">
        <w:rPr>
          <w:rFonts w:cstheme="minorHAnsi"/>
          <w:color w:val="000000" w:themeColor="text1"/>
        </w:rPr>
        <w:t>,</w:t>
      </w:r>
      <w:r w:rsidRPr="008E7BD4">
        <w:rPr>
          <w:rFonts w:cstheme="minorHAnsi"/>
          <w:color w:val="000000" w:themeColor="text1"/>
        </w:rPr>
        <w:t xml:space="preserve"> TCNJ’s electronic learning management </w:t>
      </w:r>
      <w:r w:rsidRPr="00CB77BC">
        <w:rPr>
          <w:rFonts w:cstheme="minorHAnsi"/>
          <w:color w:val="000000" w:themeColor="text1"/>
        </w:rPr>
        <w:t>system.</w:t>
      </w:r>
    </w:p>
    <w:p w14:paraId="302461DB" w14:textId="7ECAE912" w:rsidR="00CB77BC" w:rsidRPr="00CB77BC" w:rsidRDefault="00CB77BC" w:rsidP="00DE6E0B">
      <w:pPr>
        <w:rPr>
          <w:rFonts w:cstheme="minorHAnsi"/>
          <w:color w:val="000000" w:themeColor="text1"/>
        </w:rPr>
      </w:pPr>
    </w:p>
    <w:p w14:paraId="72583900" w14:textId="7D96AEBB" w:rsidR="00225A64" w:rsidRPr="00CB77BC" w:rsidRDefault="00CB77BC" w:rsidP="006C5288">
      <w:pPr>
        <w:rPr>
          <w:rFonts w:cstheme="minorHAnsi"/>
        </w:rPr>
      </w:pPr>
      <w:bookmarkStart w:id="0" w:name="_GoBack"/>
      <w:r w:rsidRPr="00CB77BC">
        <w:rPr>
          <w:rFonts w:cstheme="minorHAnsi"/>
        </w:rPr>
        <w:t>The rubric derives its validity from alignment to the NELP standards and agreement by a panel of five experts in the field of educational leadership</w:t>
      </w:r>
      <w:bookmarkEnd w:id="0"/>
      <w:r w:rsidRPr="00CB77BC">
        <w:rPr>
          <w:rFonts w:cstheme="minorHAnsi"/>
        </w:rPr>
        <w:t>.</w:t>
      </w:r>
      <w:r w:rsidR="003F12B4">
        <w:rPr>
          <w:rFonts w:cstheme="minorHAnsi"/>
        </w:rPr>
        <w:t xml:space="preserve"> I</w:t>
      </w:r>
      <w:r w:rsidR="003F12B4" w:rsidRPr="008E7BD4">
        <w:rPr>
          <w:rFonts w:cstheme="minorHAnsi"/>
        </w:rPr>
        <w:t>nter-</w:t>
      </w:r>
      <w:r w:rsidR="003F12B4">
        <w:rPr>
          <w:rFonts w:cstheme="minorHAnsi"/>
        </w:rPr>
        <w:t>r</w:t>
      </w:r>
      <w:r w:rsidR="003F12B4" w:rsidRPr="008E7BD4">
        <w:rPr>
          <w:rFonts w:cstheme="minorHAnsi"/>
        </w:rPr>
        <w:t xml:space="preserve">ater </w:t>
      </w:r>
      <w:r w:rsidR="003F12B4">
        <w:rPr>
          <w:rFonts w:cstheme="minorHAnsi"/>
        </w:rPr>
        <w:t>r</w:t>
      </w:r>
      <w:r w:rsidR="003F12B4" w:rsidRPr="008E7BD4">
        <w:rPr>
          <w:rFonts w:cstheme="minorHAnsi"/>
        </w:rPr>
        <w:t>eliability</w:t>
      </w:r>
      <w:r w:rsidR="003F12B4">
        <w:rPr>
          <w:rFonts w:cstheme="minorHAnsi"/>
        </w:rPr>
        <w:t xml:space="preserve"> by t</w:t>
      </w:r>
      <w:r w:rsidR="003F12B4">
        <w:rPr>
          <w:rFonts w:cstheme="minorHAnsi"/>
        </w:rPr>
        <w:t xml:space="preserve">wo assessors </w:t>
      </w:r>
      <w:r w:rsidR="003F12B4">
        <w:rPr>
          <w:rFonts w:cstheme="minorHAnsi"/>
        </w:rPr>
        <w:t xml:space="preserve">was </w:t>
      </w:r>
      <w:r w:rsidR="003F12B4">
        <w:rPr>
          <w:rFonts w:cstheme="minorHAnsi"/>
        </w:rPr>
        <w:t>83%</w:t>
      </w:r>
      <w:r w:rsidR="003F12B4">
        <w:rPr>
          <w:rFonts w:cstheme="minorHAnsi"/>
        </w:rPr>
        <w:t>.</w:t>
      </w:r>
    </w:p>
    <w:p w14:paraId="132ECA9D" w14:textId="77777777" w:rsidR="00CB77BC" w:rsidRPr="008E7BD4" w:rsidRDefault="00CB77BC" w:rsidP="00225A64">
      <w:pPr>
        <w:jc w:val="both"/>
        <w:rPr>
          <w:rFonts w:cstheme="minorHAnsi"/>
          <w:color w:val="000000" w:themeColor="text1"/>
        </w:rPr>
      </w:pPr>
    </w:p>
    <w:p w14:paraId="4A55DE06" w14:textId="27683788" w:rsidR="00225A64" w:rsidRPr="008E7BD4" w:rsidRDefault="00225A64" w:rsidP="00225A64">
      <w:pPr>
        <w:jc w:val="both"/>
        <w:rPr>
          <w:rFonts w:cstheme="minorHAnsi"/>
          <w:b/>
          <w:bCs/>
          <w:color w:val="000000" w:themeColor="text1"/>
        </w:rPr>
      </w:pPr>
      <w:r w:rsidRPr="008E7BD4">
        <w:rPr>
          <w:rFonts w:cstheme="minorHAnsi"/>
          <w:b/>
          <w:bCs/>
          <w:color w:val="000000" w:themeColor="text1"/>
        </w:rPr>
        <w:t>b. Alignment to Standards</w:t>
      </w:r>
    </w:p>
    <w:p w14:paraId="642731D3" w14:textId="41591117" w:rsidR="00DE6E0B" w:rsidRPr="008E7BD4" w:rsidRDefault="00DE6E0B" w:rsidP="00225A64">
      <w:pPr>
        <w:jc w:val="both"/>
        <w:rPr>
          <w:rFonts w:cstheme="minorHAnsi"/>
          <w:color w:val="000000" w:themeColor="text1"/>
        </w:rPr>
      </w:pPr>
      <w:r w:rsidRPr="008E7BD4">
        <w:rPr>
          <w:rFonts w:cstheme="minorHAnsi"/>
          <w:color w:val="000000" w:themeColor="text1"/>
        </w:rPr>
        <w:t>The Curriculum Analysis Paper is aligned to the following standards:</w:t>
      </w:r>
    </w:p>
    <w:p w14:paraId="7CABE0A7" w14:textId="77777777" w:rsidR="00DE6E0B" w:rsidRPr="008E7BD4" w:rsidRDefault="00DE6E0B" w:rsidP="00DE6E0B">
      <w:pPr>
        <w:rPr>
          <w:rFonts w:cstheme="minorHAnsi"/>
          <w:color w:val="000000" w:themeColor="text1"/>
        </w:rPr>
      </w:pPr>
      <w:r w:rsidRPr="008E7BD4">
        <w:rPr>
          <w:rFonts w:cstheme="minorHAnsi"/>
          <w:color w:val="000000" w:themeColor="text1"/>
        </w:rPr>
        <w:t>ELCC Standards: 1.1, 1.2, 2.1, 2.2</w:t>
      </w:r>
    </w:p>
    <w:p w14:paraId="68D65A48" w14:textId="27E97517" w:rsidR="00DE6E0B" w:rsidRPr="008E7BD4" w:rsidRDefault="005C4D08" w:rsidP="00DE6E0B">
      <w:pPr>
        <w:rPr>
          <w:rFonts w:cstheme="minorHAnsi"/>
          <w:color w:val="000000" w:themeColor="text1"/>
        </w:rPr>
      </w:pPr>
      <w:r w:rsidRPr="008E7BD4">
        <w:rPr>
          <w:rFonts w:cstheme="minorHAnsi"/>
          <w:color w:val="000000" w:themeColor="text1"/>
        </w:rPr>
        <w:t>NELP</w:t>
      </w:r>
      <w:r w:rsidR="00DE6E0B" w:rsidRPr="008E7BD4">
        <w:rPr>
          <w:rFonts w:cstheme="minorHAnsi"/>
          <w:color w:val="000000" w:themeColor="text1"/>
        </w:rPr>
        <w:t xml:space="preserve"> standards: </w:t>
      </w:r>
      <w:r w:rsidRPr="008E7BD4">
        <w:rPr>
          <w:rFonts w:cstheme="minorHAnsi"/>
          <w:color w:val="000000" w:themeColor="text1"/>
        </w:rPr>
        <w:t>3.2, 4.1, 4.2, 4.3, 4.4, 6.3</w:t>
      </w:r>
    </w:p>
    <w:p w14:paraId="33E5905B" w14:textId="08DFB0CE" w:rsidR="00225A64" w:rsidRPr="008E7BD4" w:rsidRDefault="00225A64" w:rsidP="00225A64">
      <w:pPr>
        <w:jc w:val="both"/>
        <w:rPr>
          <w:rFonts w:cstheme="minorHAnsi"/>
          <w:color w:val="000000" w:themeColor="text1"/>
        </w:rPr>
      </w:pPr>
    </w:p>
    <w:p w14:paraId="088E75BA" w14:textId="407BDCE6" w:rsidR="00225A64" w:rsidRPr="008E7BD4" w:rsidRDefault="00225A64" w:rsidP="00225A64">
      <w:pPr>
        <w:jc w:val="both"/>
        <w:rPr>
          <w:rFonts w:cstheme="minorHAnsi"/>
          <w:b/>
          <w:bCs/>
          <w:color w:val="000000" w:themeColor="text1"/>
        </w:rPr>
      </w:pPr>
      <w:r w:rsidRPr="008E7BD4">
        <w:rPr>
          <w:rFonts w:cstheme="minorHAnsi"/>
          <w:b/>
          <w:bCs/>
          <w:color w:val="000000" w:themeColor="text1"/>
        </w:rPr>
        <w:t xml:space="preserve">c. Analysis of </w:t>
      </w:r>
      <w:r w:rsidR="00701345" w:rsidRPr="008E7BD4">
        <w:rPr>
          <w:rFonts w:cstheme="minorHAnsi"/>
          <w:b/>
          <w:bCs/>
          <w:color w:val="000000" w:themeColor="text1"/>
        </w:rPr>
        <w:t>D</w:t>
      </w:r>
      <w:r w:rsidRPr="008E7BD4">
        <w:rPr>
          <w:rFonts w:cstheme="minorHAnsi"/>
          <w:b/>
          <w:bCs/>
          <w:color w:val="000000" w:themeColor="text1"/>
        </w:rPr>
        <w:t xml:space="preserve">ata </w:t>
      </w:r>
      <w:r w:rsidR="00701345" w:rsidRPr="008E7BD4">
        <w:rPr>
          <w:rFonts w:cstheme="minorHAnsi"/>
          <w:b/>
          <w:bCs/>
          <w:color w:val="000000" w:themeColor="text1"/>
        </w:rPr>
        <w:t>F</w:t>
      </w:r>
      <w:r w:rsidRPr="008E7BD4">
        <w:rPr>
          <w:rFonts w:cstheme="minorHAnsi"/>
          <w:b/>
          <w:bCs/>
          <w:color w:val="000000" w:themeColor="text1"/>
        </w:rPr>
        <w:t>indings</w:t>
      </w:r>
    </w:p>
    <w:p w14:paraId="51BB0DFC" w14:textId="10423788" w:rsidR="00DE6E0B" w:rsidRPr="008E7BD4" w:rsidRDefault="005C4D08" w:rsidP="00DE6E0B">
      <w:pPr>
        <w:rPr>
          <w:rFonts w:cstheme="minorHAnsi"/>
          <w:color w:val="000000" w:themeColor="text1"/>
        </w:rPr>
      </w:pPr>
      <w:r w:rsidRPr="008E7BD4">
        <w:rPr>
          <w:rFonts w:cstheme="minorHAnsi"/>
          <w:color w:val="000000" w:themeColor="text1"/>
        </w:rPr>
        <w:t xml:space="preserve">This assessment was first used in Spring 2019. </w:t>
      </w:r>
      <w:r w:rsidR="004F393B">
        <w:rPr>
          <w:rFonts w:cstheme="minorHAnsi"/>
          <w:color w:val="000000" w:themeColor="text1"/>
        </w:rPr>
        <w:t xml:space="preserve">All students </w:t>
      </w:r>
      <w:r w:rsidR="00CB77BC">
        <w:rPr>
          <w:rFonts w:cstheme="minorHAnsi"/>
          <w:color w:val="000000" w:themeColor="text1"/>
        </w:rPr>
        <w:t>performed</w:t>
      </w:r>
      <w:r w:rsidR="004F393B">
        <w:rPr>
          <w:rFonts w:cstheme="minorHAnsi"/>
          <w:color w:val="000000" w:themeColor="text1"/>
        </w:rPr>
        <w:t xml:space="preserve"> in the acceptable or target</w:t>
      </w:r>
      <w:r w:rsidR="00C37C8E">
        <w:rPr>
          <w:rFonts w:cstheme="minorHAnsi"/>
          <w:color w:val="000000" w:themeColor="text1"/>
        </w:rPr>
        <w:t xml:space="preserve"> ranges for standards 3.2, 4.1, 4.2, and 4.4. One student was in the </w:t>
      </w:r>
      <w:r w:rsidR="00CB77BC">
        <w:rPr>
          <w:rFonts w:cstheme="minorHAnsi"/>
          <w:color w:val="000000" w:themeColor="text1"/>
        </w:rPr>
        <w:t>un</w:t>
      </w:r>
      <w:r w:rsidR="00C37C8E">
        <w:rPr>
          <w:rFonts w:cstheme="minorHAnsi"/>
          <w:color w:val="000000" w:themeColor="text1"/>
        </w:rPr>
        <w:t>acceptable range for standard 6.3 during the summer semester. Overall, students in the summer semester scored lower than students in the spring semester.</w:t>
      </w:r>
    </w:p>
    <w:p w14:paraId="5827D53C" w14:textId="0B2C3737" w:rsidR="00225A64" w:rsidRPr="008E7BD4" w:rsidRDefault="00225A64" w:rsidP="00225A64">
      <w:pPr>
        <w:jc w:val="both"/>
        <w:rPr>
          <w:rFonts w:cstheme="minorHAnsi"/>
          <w:color w:val="000000" w:themeColor="text1"/>
        </w:rPr>
      </w:pPr>
    </w:p>
    <w:p w14:paraId="3A4EF958" w14:textId="043D86F9" w:rsidR="00225A64" w:rsidRPr="008E7BD4" w:rsidRDefault="00225A64" w:rsidP="00225A64">
      <w:pPr>
        <w:jc w:val="both"/>
        <w:rPr>
          <w:rFonts w:cstheme="minorHAnsi"/>
          <w:b/>
          <w:bCs/>
          <w:color w:val="000000" w:themeColor="text1"/>
        </w:rPr>
      </w:pPr>
      <w:r w:rsidRPr="008E7BD4">
        <w:rPr>
          <w:rFonts w:cstheme="minorHAnsi"/>
          <w:b/>
          <w:bCs/>
          <w:color w:val="000000" w:themeColor="text1"/>
        </w:rPr>
        <w:t xml:space="preserve">d. Interpretation of </w:t>
      </w:r>
      <w:r w:rsidR="00701345" w:rsidRPr="008E7BD4">
        <w:rPr>
          <w:rFonts w:cstheme="minorHAnsi"/>
          <w:b/>
          <w:bCs/>
          <w:color w:val="000000" w:themeColor="text1"/>
        </w:rPr>
        <w:t>E</w:t>
      </w:r>
      <w:r w:rsidRPr="008E7BD4">
        <w:rPr>
          <w:rFonts w:cstheme="minorHAnsi"/>
          <w:b/>
          <w:bCs/>
          <w:color w:val="000000" w:themeColor="text1"/>
        </w:rPr>
        <w:t xml:space="preserve">vidence </w:t>
      </w:r>
      <w:r w:rsidR="00701345" w:rsidRPr="008E7BD4">
        <w:rPr>
          <w:rFonts w:cstheme="minorHAnsi"/>
          <w:b/>
          <w:bCs/>
          <w:color w:val="000000" w:themeColor="text1"/>
        </w:rPr>
        <w:t>for</w:t>
      </w:r>
      <w:r w:rsidRPr="008E7BD4">
        <w:rPr>
          <w:rFonts w:cstheme="minorHAnsi"/>
          <w:b/>
          <w:bCs/>
          <w:color w:val="000000" w:themeColor="text1"/>
        </w:rPr>
        <w:t xml:space="preserve"> </w:t>
      </w:r>
      <w:r w:rsidR="00701345" w:rsidRPr="008E7BD4">
        <w:rPr>
          <w:rFonts w:cstheme="minorHAnsi"/>
          <w:b/>
          <w:bCs/>
          <w:color w:val="000000" w:themeColor="text1"/>
        </w:rPr>
        <w:t>M</w:t>
      </w:r>
      <w:r w:rsidRPr="008E7BD4">
        <w:rPr>
          <w:rFonts w:cstheme="minorHAnsi"/>
          <w:b/>
          <w:bCs/>
          <w:color w:val="000000" w:themeColor="text1"/>
        </w:rPr>
        <w:t xml:space="preserve">eeting </w:t>
      </w:r>
      <w:r w:rsidR="00701345" w:rsidRPr="008E7BD4">
        <w:rPr>
          <w:rFonts w:cstheme="minorHAnsi"/>
          <w:b/>
          <w:bCs/>
          <w:color w:val="000000" w:themeColor="text1"/>
        </w:rPr>
        <w:t>S</w:t>
      </w:r>
      <w:r w:rsidRPr="008E7BD4">
        <w:rPr>
          <w:rFonts w:cstheme="minorHAnsi"/>
          <w:b/>
          <w:bCs/>
          <w:color w:val="000000" w:themeColor="text1"/>
        </w:rPr>
        <w:t xml:space="preserve">tandards </w:t>
      </w:r>
    </w:p>
    <w:p w14:paraId="6F191895" w14:textId="40CA4AD7" w:rsidR="00225A64" w:rsidRPr="008E7BD4" w:rsidRDefault="00C37C8E" w:rsidP="00A056C3">
      <w:pPr>
        <w:rPr>
          <w:rFonts w:cstheme="minorHAnsi"/>
          <w:color w:val="000000" w:themeColor="text1"/>
        </w:rPr>
      </w:pPr>
      <w:r>
        <w:rPr>
          <w:rFonts w:cstheme="minorHAnsi"/>
          <w:color w:val="000000" w:themeColor="text1"/>
        </w:rPr>
        <w:t>Most c</w:t>
      </w:r>
      <w:r w:rsidR="00956405" w:rsidRPr="008E7BD4">
        <w:rPr>
          <w:rFonts w:cstheme="minorHAnsi"/>
          <w:color w:val="000000" w:themeColor="text1"/>
        </w:rPr>
        <w:t>andidate</w:t>
      </w:r>
      <w:r w:rsidR="00DE6E0B" w:rsidRPr="008E7BD4">
        <w:rPr>
          <w:rFonts w:cstheme="minorHAnsi"/>
          <w:color w:val="000000" w:themeColor="text1"/>
        </w:rPr>
        <w:t>s performed at</w:t>
      </w:r>
      <w:r w:rsidR="00A056C3" w:rsidRPr="008E7BD4">
        <w:rPr>
          <w:rFonts w:cstheme="minorHAnsi"/>
          <w:color w:val="000000" w:themeColor="text1"/>
        </w:rPr>
        <w:t xml:space="preserve"> acceptable or target</w:t>
      </w:r>
      <w:r w:rsidR="00DE6E0B" w:rsidRPr="008E7BD4">
        <w:rPr>
          <w:rFonts w:cstheme="minorHAnsi"/>
          <w:color w:val="000000" w:themeColor="text1"/>
        </w:rPr>
        <w:t xml:space="preserve"> level</w:t>
      </w:r>
      <w:r w:rsidR="00A056C3" w:rsidRPr="008E7BD4">
        <w:rPr>
          <w:rFonts w:cstheme="minorHAnsi"/>
          <w:color w:val="000000" w:themeColor="text1"/>
        </w:rPr>
        <w:t>s</w:t>
      </w:r>
      <w:r w:rsidR="00DE6E0B" w:rsidRPr="008E7BD4">
        <w:rPr>
          <w:rFonts w:cstheme="minorHAnsi"/>
          <w:color w:val="000000" w:themeColor="text1"/>
        </w:rPr>
        <w:t xml:space="preserve"> on </w:t>
      </w:r>
      <w:r>
        <w:rPr>
          <w:rFonts w:cstheme="minorHAnsi"/>
          <w:color w:val="000000" w:themeColor="text1"/>
        </w:rPr>
        <w:t xml:space="preserve">all of the standards assessed. The lower performance in the summer semester is most likely due to the course being compressed into a five-week period. Students in the spring semester have more time to complete the assessment and are given opportunities to revise and resubmit the assessment after receiving feedback. </w:t>
      </w:r>
    </w:p>
    <w:p w14:paraId="17AF3D73" w14:textId="77777777" w:rsidR="00DE6E0B" w:rsidRPr="008E7BD4" w:rsidRDefault="00DE6E0B" w:rsidP="00225A64">
      <w:pPr>
        <w:jc w:val="both"/>
        <w:rPr>
          <w:rFonts w:cstheme="minorHAnsi"/>
          <w:color w:val="000000" w:themeColor="text1"/>
        </w:rPr>
      </w:pPr>
    </w:p>
    <w:p w14:paraId="755F33DF" w14:textId="77777777" w:rsidR="009D3B92" w:rsidRDefault="009D3B92">
      <w:pPr>
        <w:rPr>
          <w:rFonts w:cstheme="minorHAnsi"/>
          <w:b/>
          <w:bCs/>
          <w:color w:val="000000" w:themeColor="text1"/>
          <w:u w:val="single"/>
        </w:rPr>
      </w:pPr>
      <w:r>
        <w:rPr>
          <w:rFonts w:cstheme="minorHAnsi"/>
          <w:b/>
          <w:bCs/>
          <w:color w:val="000000" w:themeColor="text1"/>
          <w:u w:val="single"/>
        </w:rPr>
        <w:br w:type="page"/>
      </w:r>
    </w:p>
    <w:p w14:paraId="146AB234" w14:textId="5910D243" w:rsidR="00456412" w:rsidRPr="008E7BD4" w:rsidRDefault="00456412" w:rsidP="00225A64">
      <w:pPr>
        <w:jc w:val="both"/>
        <w:rPr>
          <w:rFonts w:cstheme="minorHAnsi"/>
          <w:b/>
          <w:bCs/>
          <w:color w:val="000000" w:themeColor="text1"/>
          <w:u w:val="single"/>
        </w:rPr>
      </w:pPr>
      <w:r w:rsidRPr="008E7BD4">
        <w:rPr>
          <w:rFonts w:cstheme="minorHAnsi"/>
          <w:b/>
          <w:bCs/>
          <w:color w:val="000000" w:themeColor="text1"/>
          <w:u w:val="single"/>
        </w:rPr>
        <w:lastRenderedPageBreak/>
        <w:t>Part 2</w:t>
      </w:r>
    </w:p>
    <w:p w14:paraId="34F4A537" w14:textId="77777777" w:rsidR="009D3B92" w:rsidRDefault="00225A64" w:rsidP="009D3B92">
      <w:pPr>
        <w:jc w:val="both"/>
        <w:rPr>
          <w:rFonts w:cstheme="minorHAnsi"/>
          <w:b/>
          <w:bCs/>
          <w:color w:val="000000" w:themeColor="text1"/>
        </w:rPr>
      </w:pPr>
      <w:r w:rsidRPr="008E7BD4">
        <w:rPr>
          <w:rFonts w:cstheme="minorHAnsi"/>
          <w:b/>
          <w:bCs/>
          <w:color w:val="000000" w:themeColor="text1"/>
        </w:rPr>
        <w:t>e. Assessment</w:t>
      </w:r>
      <w:r w:rsidR="00456412" w:rsidRPr="008E7BD4">
        <w:rPr>
          <w:rFonts w:cstheme="minorHAnsi"/>
          <w:b/>
          <w:bCs/>
          <w:color w:val="000000" w:themeColor="text1"/>
        </w:rPr>
        <w:t xml:space="preserve"> Too</w:t>
      </w:r>
    </w:p>
    <w:p w14:paraId="6B4E00A1" w14:textId="029BFAE4" w:rsidR="005C4D08" w:rsidRPr="009D3B92" w:rsidRDefault="005C4D08" w:rsidP="009D3B92">
      <w:pPr>
        <w:jc w:val="center"/>
        <w:rPr>
          <w:rFonts w:cstheme="minorHAnsi"/>
          <w:b/>
          <w:bCs/>
          <w:color w:val="000000" w:themeColor="text1"/>
        </w:rPr>
      </w:pPr>
      <w:r w:rsidRPr="008E7BD4">
        <w:rPr>
          <w:rFonts w:cstheme="minorHAnsi"/>
          <w:color w:val="000000" w:themeColor="text1"/>
        </w:rPr>
        <w:t>The College Of New Jersey</w:t>
      </w:r>
    </w:p>
    <w:p w14:paraId="2A7B032C" w14:textId="77777777" w:rsidR="005C4D08" w:rsidRPr="008E7BD4" w:rsidRDefault="005C4D08" w:rsidP="005C4D08">
      <w:pPr>
        <w:jc w:val="center"/>
        <w:rPr>
          <w:rFonts w:cstheme="minorHAnsi"/>
          <w:color w:val="000000" w:themeColor="text1"/>
        </w:rPr>
      </w:pPr>
      <w:r w:rsidRPr="008E7BD4">
        <w:rPr>
          <w:rFonts w:cstheme="minorHAnsi"/>
          <w:color w:val="000000" w:themeColor="text1"/>
        </w:rPr>
        <w:t>Department of Educational Administration and Secondary Education</w:t>
      </w:r>
    </w:p>
    <w:p w14:paraId="4C356B00" w14:textId="77777777" w:rsidR="005C4D08" w:rsidRPr="008E7BD4" w:rsidRDefault="005C4D08" w:rsidP="005C4D08">
      <w:pPr>
        <w:jc w:val="center"/>
        <w:rPr>
          <w:rFonts w:cstheme="minorHAnsi"/>
          <w:color w:val="000000" w:themeColor="text1"/>
        </w:rPr>
      </w:pPr>
    </w:p>
    <w:p w14:paraId="3856CBCC" w14:textId="77777777" w:rsidR="005C4D08" w:rsidRPr="008E7BD4" w:rsidRDefault="005C4D08" w:rsidP="005C4D08">
      <w:pPr>
        <w:jc w:val="center"/>
        <w:rPr>
          <w:rFonts w:cstheme="minorHAnsi"/>
          <w:b/>
          <w:color w:val="000000" w:themeColor="text1"/>
        </w:rPr>
      </w:pPr>
      <w:r w:rsidRPr="008E7BD4">
        <w:rPr>
          <w:rFonts w:cstheme="minorHAnsi"/>
          <w:b/>
          <w:color w:val="000000" w:themeColor="text1"/>
        </w:rPr>
        <w:t>Curriculum Analysis Project</w:t>
      </w:r>
    </w:p>
    <w:p w14:paraId="74D5210E" w14:textId="77777777" w:rsidR="005C4D08" w:rsidRPr="008E7BD4" w:rsidRDefault="005C4D08" w:rsidP="005C4D08">
      <w:pPr>
        <w:rPr>
          <w:rFonts w:cstheme="minorHAnsi"/>
          <w:b/>
          <w:color w:val="000000" w:themeColor="text1"/>
        </w:rPr>
      </w:pPr>
    </w:p>
    <w:p w14:paraId="2F620F06" w14:textId="77777777" w:rsidR="005C4D08" w:rsidRPr="008E7BD4" w:rsidRDefault="005C4D08" w:rsidP="005C4D08">
      <w:pPr>
        <w:jc w:val="center"/>
        <w:rPr>
          <w:rFonts w:cstheme="minorHAnsi"/>
          <w:color w:val="000000" w:themeColor="text1"/>
        </w:rPr>
      </w:pPr>
    </w:p>
    <w:p w14:paraId="5FE7133F" w14:textId="77777777" w:rsidR="005C4D08" w:rsidRPr="008E7BD4" w:rsidRDefault="005C4D08" w:rsidP="005C4D08">
      <w:pPr>
        <w:rPr>
          <w:rFonts w:cstheme="minorHAnsi"/>
          <w:color w:val="000000" w:themeColor="text1"/>
        </w:rPr>
      </w:pPr>
      <w:r w:rsidRPr="008E7BD4">
        <w:rPr>
          <w:rFonts w:cstheme="minorHAnsi"/>
          <w:b/>
          <w:color w:val="000000" w:themeColor="text1"/>
        </w:rPr>
        <w:t>The Assignment</w:t>
      </w:r>
      <w:r w:rsidRPr="008E7BD4">
        <w:rPr>
          <w:rFonts w:cstheme="minorHAnsi"/>
          <w:color w:val="000000" w:themeColor="text1"/>
        </w:rPr>
        <w:t xml:space="preserve">:  For this assignment you will evaluate various aspects of a curricular unit and make suggestions to improve it. </w:t>
      </w:r>
    </w:p>
    <w:p w14:paraId="3EDA4F53" w14:textId="77777777" w:rsidR="005C4D08" w:rsidRPr="008E7BD4" w:rsidRDefault="005C4D08" w:rsidP="005C4D08">
      <w:pPr>
        <w:rPr>
          <w:rFonts w:cstheme="minorHAnsi"/>
          <w:color w:val="000000" w:themeColor="text1"/>
        </w:rPr>
      </w:pPr>
    </w:p>
    <w:p w14:paraId="5821EB28" w14:textId="77777777" w:rsidR="005C4D08" w:rsidRPr="008E7BD4" w:rsidRDefault="005C4D08" w:rsidP="005C4D08">
      <w:pPr>
        <w:rPr>
          <w:rFonts w:cstheme="minorHAnsi"/>
          <w:color w:val="000000" w:themeColor="text1"/>
        </w:rPr>
      </w:pPr>
      <w:r w:rsidRPr="008E7BD4">
        <w:rPr>
          <w:rFonts w:cstheme="minorHAnsi"/>
          <w:b/>
          <w:color w:val="000000" w:themeColor="text1"/>
        </w:rPr>
        <w:t>The Purpose of the Assignment</w:t>
      </w:r>
      <w:r w:rsidRPr="008E7BD4">
        <w:rPr>
          <w:rFonts w:cstheme="minorHAnsi"/>
          <w:color w:val="000000" w:themeColor="text1"/>
        </w:rPr>
        <w:t xml:space="preserve">:  You will demonstrate the capacity to promote the current and future success and well-being of each student and adult by applying the skills necessary to evaluate, develop, and implement coherent and standards-aligned systems of curriculum, instruction, data systems, supports, and assessment (NELP Standard 4: Learning and Instruction). </w:t>
      </w:r>
    </w:p>
    <w:p w14:paraId="28474CBA" w14:textId="77777777" w:rsidR="005C4D08" w:rsidRPr="008E7BD4" w:rsidRDefault="005C4D08" w:rsidP="005C4D08">
      <w:pPr>
        <w:rPr>
          <w:rFonts w:cstheme="minorHAnsi"/>
          <w:color w:val="000000" w:themeColor="text1"/>
        </w:rPr>
      </w:pPr>
    </w:p>
    <w:p w14:paraId="52574453" w14:textId="77777777" w:rsidR="005C4D08" w:rsidRPr="008E7BD4" w:rsidRDefault="005C4D08" w:rsidP="005C4D08">
      <w:pPr>
        <w:rPr>
          <w:rFonts w:cstheme="minorHAnsi"/>
          <w:color w:val="000000" w:themeColor="text1"/>
        </w:rPr>
      </w:pPr>
      <w:r w:rsidRPr="008E7BD4">
        <w:rPr>
          <w:rFonts w:cstheme="minorHAnsi"/>
          <w:b/>
          <w:color w:val="000000" w:themeColor="text1"/>
        </w:rPr>
        <w:t>Directions:</w:t>
      </w:r>
    </w:p>
    <w:p w14:paraId="78E50C4D" w14:textId="6606718E" w:rsidR="005C4D08" w:rsidRPr="008E7BD4" w:rsidRDefault="005C4D08" w:rsidP="005C4D08">
      <w:pPr>
        <w:rPr>
          <w:rFonts w:cstheme="minorHAnsi"/>
          <w:color w:val="000000" w:themeColor="text1"/>
        </w:rPr>
      </w:pPr>
      <w:r w:rsidRPr="008E7BD4">
        <w:rPr>
          <w:rFonts w:cstheme="minorHAnsi"/>
          <w:color w:val="000000" w:themeColor="text1"/>
        </w:rPr>
        <w:t>Choose a curricular unit relevant to your work. The unit’s length should fit within a range of two weeks to three months. Ideally, you should be familiar with this unit as it is planned, taught, supported, and assessed</w:t>
      </w:r>
      <w:r w:rsidR="00CB77BC">
        <w:rPr>
          <w:rFonts w:cstheme="minorHAnsi"/>
          <w:color w:val="000000" w:themeColor="text1"/>
        </w:rPr>
        <w:t>.</w:t>
      </w:r>
    </w:p>
    <w:p w14:paraId="0615D23F" w14:textId="77777777" w:rsidR="005C4D08" w:rsidRPr="008E7BD4" w:rsidRDefault="005C4D08" w:rsidP="005C4D08">
      <w:pPr>
        <w:rPr>
          <w:rFonts w:cstheme="minorHAnsi"/>
          <w:color w:val="000000" w:themeColor="text1"/>
        </w:rPr>
      </w:pPr>
    </w:p>
    <w:p w14:paraId="0EC322C7" w14:textId="77777777" w:rsidR="00CB77BC" w:rsidRDefault="005C4D08" w:rsidP="005C4D08">
      <w:pPr>
        <w:rPr>
          <w:rFonts w:cstheme="minorHAnsi"/>
          <w:color w:val="000000" w:themeColor="text1"/>
        </w:rPr>
      </w:pPr>
      <w:r w:rsidRPr="008E7BD4">
        <w:rPr>
          <w:rFonts w:cstheme="minorHAnsi"/>
          <w:color w:val="000000" w:themeColor="text1"/>
        </w:rPr>
        <w:t xml:space="preserve">Your task is to </w:t>
      </w:r>
      <w:r w:rsidRPr="008E7BD4">
        <w:rPr>
          <w:rFonts w:cstheme="minorHAnsi"/>
          <w:b/>
          <w:color w:val="000000" w:themeColor="text1"/>
        </w:rPr>
        <w:t xml:space="preserve">evaluate </w:t>
      </w:r>
      <w:r w:rsidRPr="008E7BD4">
        <w:rPr>
          <w:rFonts w:cstheme="minorHAnsi"/>
          <w:color w:val="000000" w:themeColor="text1"/>
        </w:rPr>
        <w:t xml:space="preserve">the coherence of a curricular unit and its alignment with required standards, </w:t>
      </w:r>
      <w:r w:rsidRPr="008E7BD4">
        <w:rPr>
          <w:rFonts w:cstheme="minorHAnsi"/>
          <w:b/>
          <w:color w:val="000000" w:themeColor="text1"/>
        </w:rPr>
        <w:t>analyze</w:t>
      </w:r>
      <w:r w:rsidRPr="008E7BD4">
        <w:rPr>
          <w:rFonts w:cstheme="minorHAnsi"/>
          <w:color w:val="000000" w:themeColor="text1"/>
        </w:rPr>
        <w:t xml:space="preserve"> how it fosters the success of each student, and </w:t>
      </w:r>
      <w:r w:rsidRPr="008E7BD4">
        <w:rPr>
          <w:rFonts w:cstheme="minorHAnsi"/>
          <w:b/>
          <w:bCs/>
          <w:color w:val="000000" w:themeColor="text1"/>
        </w:rPr>
        <w:t xml:space="preserve">develop </w:t>
      </w:r>
      <w:r w:rsidRPr="008E7BD4">
        <w:rPr>
          <w:rFonts w:cstheme="minorHAnsi"/>
          <w:color w:val="000000" w:themeColor="text1"/>
        </w:rPr>
        <w:t xml:space="preserve">suggestions for improving its effectiveness and capacity to provide equitable opportunities for each student to learn. </w:t>
      </w:r>
    </w:p>
    <w:p w14:paraId="4E991B03" w14:textId="77777777" w:rsidR="00CB77BC" w:rsidRDefault="00CB77BC" w:rsidP="005C4D08">
      <w:pPr>
        <w:rPr>
          <w:rFonts w:cstheme="minorHAnsi"/>
          <w:color w:val="000000" w:themeColor="text1"/>
        </w:rPr>
      </w:pPr>
    </w:p>
    <w:p w14:paraId="0E2F8080" w14:textId="6F19DF51" w:rsidR="005C4D08" w:rsidRPr="008E7BD4" w:rsidRDefault="005C4D08" w:rsidP="005C4D08">
      <w:pPr>
        <w:rPr>
          <w:rFonts w:cstheme="minorHAnsi"/>
          <w:color w:val="000000" w:themeColor="text1"/>
        </w:rPr>
      </w:pPr>
      <w:r w:rsidRPr="008E7BD4">
        <w:rPr>
          <w:rFonts w:cstheme="minorHAnsi"/>
          <w:color w:val="000000" w:themeColor="text1"/>
        </w:rPr>
        <w:t>You will be assessed in six areas.</w:t>
      </w:r>
    </w:p>
    <w:p w14:paraId="4F615829" w14:textId="77777777" w:rsidR="005C4D08" w:rsidRPr="008E7BD4" w:rsidRDefault="005C4D08" w:rsidP="005C4D08">
      <w:pPr>
        <w:rPr>
          <w:rFonts w:cstheme="minorHAnsi"/>
          <w:color w:val="000000" w:themeColor="text1"/>
        </w:rPr>
      </w:pPr>
    </w:p>
    <w:p w14:paraId="647FF66F" w14:textId="77777777" w:rsidR="005C4D08" w:rsidRPr="008E7BD4" w:rsidRDefault="005C4D08" w:rsidP="005C4D08">
      <w:pPr>
        <w:rPr>
          <w:rFonts w:cstheme="minorHAnsi"/>
          <w:color w:val="000000" w:themeColor="text1"/>
        </w:rPr>
      </w:pPr>
      <w:r w:rsidRPr="008E7BD4">
        <w:rPr>
          <w:rFonts w:cstheme="minorHAnsi"/>
          <w:color w:val="000000" w:themeColor="text1"/>
        </w:rPr>
        <w:t>Part 1:</w:t>
      </w:r>
    </w:p>
    <w:p w14:paraId="1C1DDC7D" w14:textId="193464FD" w:rsidR="005C4D08" w:rsidRPr="008E7BD4" w:rsidRDefault="00CB77BC" w:rsidP="005C4D08">
      <w:pPr>
        <w:pStyle w:val="Heading1"/>
        <w:spacing w:before="0"/>
        <w:rPr>
          <w:rFonts w:asciiTheme="minorHAnsi" w:hAnsiTheme="minorHAnsi" w:cstheme="minorHAnsi"/>
          <w:b/>
          <w:bCs/>
          <w:color w:val="000000" w:themeColor="text1"/>
          <w:sz w:val="24"/>
          <w:szCs w:val="24"/>
        </w:rPr>
      </w:pPr>
      <w:r>
        <w:rPr>
          <w:rFonts w:asciiTheme="minorHAnsi" w:hAnsiTheme="minorHAnsi" w:cstheme="minorHAnsi"/>
          <w:color w:val="000000"/>
          <w:sz w:val="24"/>
          <w:szCs w:val="24"/>
        </w:rPr>
        <w:t>Evaluate the</w:t>
      </w:r>
      <w:r w:rsidR="005C4D08" w:rsidRPr="008E7BD4">
        <w:rPr>
          <w:rFonts w:asciiTheme="minorHAnsi" w:hAnsiTheme="minorHAnsi" w:cstheme="minorHAnsi"/>
          <w:color w:val="000000"/>
          <w:sz w:val="24"/>
          <w:szCs w:val="24"/>
        </w:rPr>
        <w:t xml:space="preserve"> curriculum by </w:t>
      </w:r>
      <w:r w:rsidR="005C4D08" w:rsidRPr="008E7BD4">
        <w:rPr>
          <w:rFonts w:asciiTheme="minorHAnsi" w:hAnsiTheme="minorHAnsi" w:cstheme="minorHAnsi"/>
          <w:color w:val="000000" w:themeColor="text1"/>
          <w:sz w:val="24"/>
          <w:szCs w:val="24"/>
        </w:rPr>
        <w:t xml:space="preserve">explaining the hallmarks of quality as described by experts in the field, providing evidence from your curricular unit (e.g., quotations, screen shots, vivid descriptions), and explaining how the unit reflects these hallmarks in each of the following areas: </w:t>
      </w:r>
    </w:p>
    <w:p w14:paraId="40A06AEC" w14:textId="12FCDD90" w:rsidR="005C4D08" w:rsidRPr="008E7BD4" w:rsidRDefault="005C4D08" w:rsidP="005C4D08">
      <w:pPr>
        <w:pStyle w:val="ListParagraph"/>
        <w:numPr>
          <w:ilvl w:val="0"/>
          <w:numId w:val="7"/>
        </w:numPr>
        <w:rPr>
          <w:rFonts w:cstheme="minorHAnsi"/>
          <w:color w:val="000000" w:themeColor="text1"/>
        </w:rPr>
      </w:pPr>
      <w:r w:rsidRPr="008E7BD4">
        <w:rPr>
          <w:rFonts w:cstheme="minorHAnsi"/>
          <w:color w:val="000000" w:themeColor="text1"/>
        </w:rPr>
        <w:t xml:space="preserve">Standards alignment: Analyze </w:t>
      </w:r>
      <w:r w:rsidRPr="008E7BD4">
        <w:rPr>
          <w:rFonts w:cstheme="minorHAnsi"/>
          <w:color w:val="000000"/>
        </w:rPr>
        <w:t>the extent curricular objectives, learning activities, and assessments are aligned to appropriate grade level NJ Student Learning Standards</w:t>
      </w:r>
      <w:r w:rsidRPr="008E7BD4">
        <w:rPr>
          <w:rFonts w:cstheme="minorHAnsi"/>
          <w:color w:val="000000" w:themeColor="text1"/>
        </w:rPr>
        <w:t xml:space="preserve"> and reflect important knowledge, skills, and understandings</w:t>
      </w:r>
      <w:r w:rsidR="00CB77BC">
        <w:rPr>
          <w:rFonts w:cstheme="minorHAnsi"/>
          <w:color w:val="000000" w:themeColor="text1"/>
        </w:rPr>
        <w:t>.</w:t>
      </w:r>
      <w:r w:rsidRPr="008E7BD4">
        <w:rPr>
          <w:rFonts w:cstheme="minorHAnsi"/>
          <w:color w:val="000000" w:themeColor="text1"/>
        </w:rPr>
        <w:t xml:space="preserve"> (NELP 6.3; </w:t>
      </w:r>
      <w:r w:rsidRPr="008E7BD4">
        <w:rPr>
          <w:rFonts w:cstheme="minorHAnsi"/>
          <w:color w:val="000000"/>
        </w:rPr>
        <w:t>CAEP A.1.1.f</w:t>
      </w:r>
      <w:r w:rsidRPr="008E7BD4">
        <w:rPr>
          <w:rFonts w:cstheme="minorHAnsi"/>
          <w:color w:val="000000" w:themeColor="text1"/>
        </w:rPr>
        <w:t>)</w:t>
      </w:r>
    </w:p>
    <w:p w14:paraId="6532AC76" w14:textId="09CCA027" w:rsidR="005C4D08" w:rsidRPr="008E7BD4" w:rsidRDefault="005C4D08" w:rsidP="005C4D08">
      <w:pPr>
        <w:pStyle w:val="ListParagraph"/>
        <w:numPr>
          <w:ilvl w:val="0"/>
          <w:numId w:val="7"/>
        </w:numPr>
        <w:rPr>
          <w:rFonts w:cstheme="minorHAnsi"/>
          <w:color w:val="000000" w:themeColor="text1"/>
        </w:rPr>
      </w:pPr>
      <w:r w:rsidRPr="008E7BD4">
        <w:rPr>
          <w:rFonts w:cstheme="minorHAnsi"/>
          <w:color w:val="000000"/>
        </w:rPr>
        <w:t>Assessment efficacy: Analyze the technical soundness, cultural responsiveness, and instructional utility of the unit’s formative and summative assessments</w:t>
      </w:r>
      <w:r w:rsidR="00CB77BC">
        <w:rPr>
          <w:rFonts w:cstheme="minorHAnsi"/>
          <w:color w:val="000000"/>
        </w:rPr>
        <w:t>.</w:t>
      </w:r>
      <w:r w:rsidRPr="008E7BD4">
        <w:rPr>
          <w:rFonts w:cstheme="minorHAnsi"/>
          <w:color w:val="000000"/>
        </w:rPr>
        <w:t xml:space="preserve"> (</w:t>
      </w:r>
      <w:r w:rsidRPr="008E7BD4">
        <w:rPr>
          <w:rFonts w:cstheme="minorHAnsi"/>
          <w:color w:val="000000" w:themeColor="text1"/>
        </w:rPr>
        <w:t xml:space="preserve">NELP 4.3; </w:t>
      </w:r>
      <w:r w:rsidRPr="008E7BD4">
        <w:rPr>
          <w:rFonts w:cstheme="minorHAnsi"/>
        </w:rPr>
        <w:t>CAEP A.1.1.a</w:t>
      </w:r>
      <w:r w:rsidRPr="008E7BD4">
        <w:rPr>
          <w:rFonts w:cstheme="minorHAnsi"/>
          <w:color w:val="000000" w:themeColor="text1"/>
        </w:rPr>
        <w:t>)</w:t>
      </w:r>
    </w:p>
    <w:p w14:paraId="640F04B4" w14:textId="0A28AC8C" w:rsidR="005C4D08" w:rsidRPr="008E7BD4" w:rsidRDefault="005C4D08" w:rsidP="005C4D08">
      <w:pPr>
        <w:pStyle w:val="ListParagraph"/>
        <w:numPr>
          <w:ilvl w:val="0"/>
          <w:numId w:val="7"/>
        </w:numPr>
        <w:rPr>
          <w:rFonts w:cstheme="minorHAnsi"/>
          <w:color w:val="000000" w:themeColor="text1"/>
        </w:rPr>
      </w:pPr>
      <w:r w:rsidRPr="008E7BD4">
        <w:rPr>
          <w:rFonts w:cstheme="minorHAnsi"/>
          <w:color w:val="000000" w:themeColor="text1"/>
        </w:rPr>
        <w:t xml:space="preserve">Pedagogical appropriateness: Analyze the </w:t>
      </w:r>
      <w:r w:rsidRPr="008E7BD4">
        <w:rPr>
          <w:rFonts w:cstheme="minorHAnsi"/>
          <w:color w:val="000000"/>
        </w:rPr>
        <w:t>extent instructional strategies, resources, technologies, and supports are evidence-based and likely to engage each student in challenging and meaningful learning</w:t>
      </w:r>
      <w:r w:rsidR="00CB77BC">
        <w:rPr>
          <w:rFonts w:cstheme="minorHAnsi"/>
          <w:color w:val="000000"/>
        </w:rPr>
        <w:t>.</w:t>
      </w:r>
      <w:r w:rsidRPr="008E7BD4">
        <w:rPr>
          <w:rFonts w:cstheme="minorHAnsi"/>
          <w:color w:val="000000"/>
        </w:rPr>
        <w:t xml:space="preserve"> (</w:t>
      </w:r>
      <w:r w:rsidRPr="008E7BD4">
        <w:rPr>
          <w:rFonts w:cstheme="minorHAnsi"/>
          <w:color w:val="000000" w:themeColor="text1"/>
        </w:rPr>
        <w:t xml:space="preserve">NELP 4.2; </w:t>
      </w:r>
      <w:r w:rsidRPr="008E7BD4">
        <w:rPr>
          <w:rFonts w:cstheme="minorHAnsi"/>
          <w:color w:val="000000"/>
        </w:rPr>
        <w:t>CAEP A.1.1.b</w:t>
      </w:r>
      <w:r w:rsidRPr="008E7BD4">
        <w:rPr>
          <w:rFonts w:cstheme="minorHAnsi"/>
          <w:color w:val="000000" w:themeColor="text1"/>
        </w:rPr>
        <w:t>)</w:t>
      </w:r>
    </w:p>
    <w:p w14:paraId="2F34656D" w14:textId="77777777" w:rsidR="005C4D08" w:rsidRPr="008E7BD4" w:rsidRDefault="005C4D08" w:rsidP="005C4D08">
      <w:pPr>
        <w:pStyle w:val="ListParagraph"/>
        <w:numPr>
          <w:ilvl w:val="0"/>
          <w:numId w:val="7"/>
        </w:numPr>
        <w:rPr>
          <w:rFonts w:cstheme="minorHAnsi"/>
          <w:color w:val="000000" w:themeColor="text1"/>
        </w:rPr>
      </w:pPr>
      <w:r w:rsidRPr="008E7BD4">
        <w:rPr>
          <w:rFonts w:cstheme="minorHAnsi"/>
          <w:color w:val="000000" w:themeColor="text1"/>
        </w:rPr>
        <w:lastRenderedPageBreak/>
        <w:t xml:space="preserve">Equitable opportunity: Analyze the extent </w:t>
      </w:r>
      <w:r w:rsidRPr="008E7BD4">
        <w:rPr>
          <w:rFonts w:cstheme="minorHAnsi"/>
          <w:color w:val="000000"/>
        </w:rPr>
        <w:t>instructional technologies, strategies, and/or content are differentiated appropriately to accommodate language, learning, and cultural differences. (</w:t>
      </w:r>
      <w:r w:rsidRPr="008E7BD4">
        <w:rPr>
          <w:rFonts w:cstheme="minorHAnsi"/>
          <w:color w:val="000000" w:themeColor="text1"/>
        </w:rPr>
        <w:t xml:space="preserve">NELP 3.2; </w:t>
      </w:r>
      <w:r w:rsidRPr="008E7BD4">
        <w:rPr>
          <w:rFonts w:cstheme="minorHAnsi"/>
        </w:rPr>
        <w:t>CAEP A.1.1.e)</w:t>
      </w:r>
    </w:p>
    <w:p w14:paraId="0823DFFE" w14:textId="77777777" w:rsidR="005C4D08" w:rsidRPr="008E7BD4" w:rsidRDefault="005C4D08" w:rsidP="005C4D08">
      <w:pPr>
        <w:pStyle w:val="ListParagraph"/>
        <w:numPr>
          <w:ilvl w:val="0"/>
          <w:numId w:val="7"/>
        </w:numPr>
        <w:rPr>
          <w:rFonts w:cstheme="minorHAnsi"/>
          <w:color w:val="000000" w:themeColor="text1"/>
        </w:rPr>
      </w:pPr>
      <w:r w:rsidRPr="008E7BD4">
        <w:rPr>
          <w:rFonts w:cstheme="minorHAnsi"/>
          <w:color w:val="000000" w:themeColor="text1"/>
        </w:rPr>
        <w:t xml:space="preserve">Coherence: Analyze the unit’s </w:t>
      </w:r>
      <w:r w:rsidRPr="008E7BD4">
        <w:rPr>
          <w:rFonts w:cstheme="minorHAnsi"/>
          <w:color w:val="000000"/>
        </w:rPr>
        <w:t>coherence in terms of real-world relevance and cross-grade level connections. (</w:t>
      </w:r>
      <w:r w:rsidRPr="008E7BD4">
        <w:rPr>
          <w:rFonts w:cstheme="minorHAnsi"/>
          <w:color w:val="000000" w:themeColor="text1"/>
        </w:rPr>
        <w:t>NELP 4.4)</w:t>
      </w:r>
    </w:p>
    <w:p w14:paraId="6354BB22" w14:textId="77777777" w:rsidR="005C4D08" w:rsidRPr="008E7BD4" w:rsidRDefault="005C4D08" w:rsidP="005C4D08">
      <w:pPr>
        <w:rPr>
          <w:rFonts w:cstheme="minorHAnsi"/>
          <w:color w:val="000000" w:themeColor="text1"/>
        </w:rPr>
      </w:pPr>
    </w:p>
    <w:p w14:paraId="449BF978" w14:textId="77777777" w:rsidR="005C4D08" w:rsidRPr="008E7BD4" w:rsidRDefault="005C4D08" w:rsidP="005C4D08">
      <w:pPr>
        <w:rPr>
          <w:rFonts w:cstheme="minorHAnsi"/>
          <w:color w:val="000000" w:themeColor="text1"/>
        </w:rPr>
      </w:pPr>
      <w:r w:rsidRPr="008E7BD4">
        <w:rPr>
          <w:rFonts w:cstheme="minorHAnsi"/>
          <w:color w:val="000000" w:themeColor="text1"/>
        </w:rPr>
        <w:t>Part 2:</w:t>
      </w:r>
    </w:p>
    <w:p w14:paraId="2EBE3C93" w14:textId="77777777" w:rsidR="005C4D08" w:rsidRPr="008E7BD4" w:rsidRDefault="005C4D08" w:rsidP="005C4D08">
      <w:pPr>
        <w:numPr>
          <w:ilvl w:val="0"/>
          <w:numId w:val="7"/>
        </w:numPr>
        <w:rPr>
          <w:rFonts w:cstheme="minorHAnsi"/>
          <w:color w:val="000000" w:themeColor="text1"/>
        </w:rPr>
      </w:pPr>
      <w:r w:rsidRPr="008E7BD4">
        <w:rPr>
          <w:rFonts w:cstheme="minorHAnsi"/>
          <w:color w:val="000000"/>
        </w:rPr>
        <w:t xml:space="preserve">Evaluations and improvements: </w:t>
      </w:r>
      <w:r w:rsidRPr="008E7BD4">
        <w:rPr>
          <w:rFonts w:cstheme="minorHAnsi"/>
          <w:color w:val="000000" w:themeColor="text1"/>
        </w:rPr>
        <w:t xml:space="preserve">Develop a minimum of two recommendations </w:t>
      </w:r>
      <w:r w:rsidRPr="008E7BD4">
        <w:rPr>
          <w:rFonts w:cstheme="minorHAnsi"/>
          <w:color w:val="000000"/>
        </w:rPr>
        <w:t xml:space="preserve">that align with the curricular analysis and provide </w:t>
      </w:r>
      <w:r w:rsidRPr="008E7BD4">
        <w:rPr>
          <w:rFonts w:cstheme="minorHAnsi"/>
          <w:color w:val="000000" w:themeColor="text1"/>
        </w:rPr>
        <w:t>specific, detailed, and actionable means</w:t>
      </w:r>
      <w:r w:rsidRPr="008E7BD4">
        <w:rPr>
          <w:rFonts w:cstheme="minorHAnsi"/>
          <w:color w:val="000000"/>
        </w:rPr>
        <w:t xml:space="preserve"> for revising or successfully implementing the curricular program. (</w:t>
      </w:r>
      <w:r w:rsidRPr="008E7BD4">
        <w:rPr>
          <w:rFonts w:cstheme="minorHAnsi"/>
          <w:color w:val="000000" w:themeColor="text1"/>
        </w:rPr>
        <w:t xml:space="preserve">NELP 4.1; </w:t>
      </w:r>
      <w:r w:rsidRPr="008E7BD4">
        <w:rPr>
          <w:rFonts w:cstheme="minorHAnsi"/>
          <w:color w:val="000000"/>
        </w:rPr>
        <w:t>CAEP A.1.1.c</w:t>
      </w:r>
      <w:r w:rsidRPr="008E7BD4">
        <w:rPr>
          <w:rFonts w:cstheme="minorHAnsi"/>
          <w:color w:val="000000" w:themeColor="text1"/>
        </w:rPr>
        <w:t>)</w:t>
      </w:r>
    </w:p>
    <w:p w14:paraId="53268DEC" w14:textId="77777777" w:rsidR="005C4D08" w:rsidRPr="008E7BD4" w:rsidRDefault="005C4D08" w:rsidP="005C4D08">
      <w:pPr>
        <w:rPr>
          <w:rFonts w:cstheme="minorHAnsi"/>
          <w:b/>
          <w:color w:val="000000" w:themeColor="text1"/>
        </w:rPr>
      </w:pPr>
    </w:p>
    <w:p w14:paraId="091F6B42" w14:textId="77777777" w:rsidR="005C4D08" w:rsidRPr="008E7BD4" w:rsidRDefault="005C4D08" w:rsidP="005C4D08">
      <w:pPr>
        <w:rPr>
          <w:rFonts w:cstheme="minorHAnsi"/>
          <w:b/>
          <w:color w:val="000000" w:themeColor="text1"/>
        </w:rPr>
      </w:pPr>
      <w:r w:rsidRPr="008E7BD4">
        <w:rPr>
          <w:rFonts w:cstheme="minorHAnsi"/>
          <w:b/>
          <w:color w:val="000000" w:themeColor="text1"/>
        </w:rPr>
        <w:t>Assignment Format:</w:t>
      </w:r>
    </w:p>
    <w:p w14:paraId="15627242" w14:textId="77777777" w:rsidR="005C4D08" w:rsidRPr="008E7BD4" w:rsidRDefault="005C4D08" w:rsidP="005C4D08">
      <w:pPr>
        <w:pStyle w:val="Heading1"/>
        <w:spacing w:before="0"/>
        <w:rPr>
          <w:rFonts w:asciiTheme="minorHAnsi" w:hAnsiTheme="minorHAnsi" w:cstheme="minorHAnsi"/>
          <w:b/>
          <w:bCs/>
          <w:color w:val="000000" w:themeColor="text1"/>
          <w:sz w:val="24"/>
          <w:szCs w:val="24"/>
        </w:rPr>
      </w:pPr>
      <w:r w:rsidRPr="008E7BD4">
        <w:rPr>
          <w:rFonts w:asciiTheme="minorHAnsi" w:hAnsiTheme="minorHAnsi" w:cstheme="minorHAnsi"/>
          <w:color w:val="000000" w:themeColor="text1"/>
          <w:sz w:val="24"/>
          <w:szCs w:val="24"/>
        </w:rPr>
        <w:t xml:space="preserve">Along with your completed template, you must submit a copy of or links to the unit for the instructor to view.  </w:t>
      </w:r>
    </w:p>
    <w:p w14:paraId="7CC6190D" w14:textId="77777777" w:rsidR="005C4D08" w:rsidRPr="008E7BD4" w:rsidRDefault="005C4D08" w:rsidP="005C4D08">
      <w:pPr>
        <w:pStyle w:val="Heading1"/>
        <w:spacing w:before="0"/>
        <w:rPr>
          <w:rFonts w:asciiTheme="minorHAnsi" w:hAnsiTheme="minorHAnsi" w:cstheme="minorHAnsi"/>
          <w:b/>
          <w:bCs/>
          <w:color w:val="000000" w:themeColor="text1"/>
          <w:sz w:val="24"/>
          <w:szCs w:val="24"/>
        </w:rPr>
      </w:pPr>
      <w:r w:rsidRPr="008E7BD4">
        <w:rPr>
          <w:rFonts w:asciiTheme="minorHAnsi" w:hAnsiTheme="minorHAnsi" w:cstheme="minorHAnsi"/>
          <w:color w:val="000000" w:themeColor="text1"/>
          <w:sz w:val="24"/>
          <w:szCs w:val="24"/>
        </w:rPr>
        <w:t>Specifics:</w:t>
      </w:r>
    </w:p>
    <w:p w14:paraId="56BC0813" w14:textId="77777777" w:rsidR="005C4D08" w:rsidRPr="008E7BD4" w:rsidRDefault="005C4D08" w:rsidP="005C4D08">
      <w:pPr>
        <w:pStyle w:val="Heading1"/>
        <w:numPr>
          <w:ilvl w:val="0"/>
          <w:numId w:val="4"/>
        </w:numPr>
        <w:spacing w:before="0"/>
        <w:rPr>
          <w:rFonts w:asciiTheme="minorHAnsi" w:hAnsiTheme="minorHAnsi" w:cstheme="minorHAnsi"/>
          <w:b/>
          <w:bCs/>
          <w:color w:val="000000" w:themeColor="text1"/>
          <w:sz w:val="24"/>
          <w:szCs w:val="24"/>
        </w:rPr>
      </w:pPr>
      <w:r w:rsidRPr="008E7BD4">
        <w:rPr>
          <w:rFonts w:asciiTheme="minorHAnsi" w:hAnsiTheme="minorHAnsi" w:cstheme="minorHAnsi"/>
          <w:color w:val="000000" w:themeColor="text1"/>
          <w:sz w:val="24"/>
          <w:szCs w:val="24"/>
        </w:rPr>
        <w:t>This is professional work rather than a scholarly paper. Therefore, you do not need to follow APA formatting. You must include appropriate references when citing expert works other than those provided by the instructor.</w:t>
      </w:r>
    </w:p>
    <w:p w14:paraId="068EA097" w14:textId="22F3DD37" w:rsidR="005C4D08" w:rsidRPr="008E7BD4" w:rsidRDefault="005C4D08" w:rsidP="005C4D08">
      <w:pPr>
        <w:pStyle w:val="Heading1"/>
        <w:numPr>
          <w:ilvl w:val="0"/>
          <w:numId w:val="4"/>
        </w:numPr>
        <w:spacing w:before="0"/>
        <w:rPr>
          <w:rFonts w:asciiTheme="minorHAnsi" w:hAnsiTheme="minorHAnsi" w:cstheme="minorHAnsi"/>
          <w:b/>
          <w:bCs/>
          <w:color w:val="000000" w:themeColor="text1"/>
          <w:sz w:val="24"/>
          <w:szCs w:val="24"/>
        </w:rPr>
      </w:pPr>
      <w:r w:rsidRPr="008E7BD4">
        <w:rPr>
          <w:rFonts w:asciiTheme="minorHAnsi" w:hAnsiTheme="minorHAnsi" w:cstheme="minorHAnsi"/>
          <w:color w:val="000000" w:themeColor="text1"/>
          <w:sz w:val="24"/>
          <w:szCs w:val="24"/>
        </w:rPr>
        <w:t>As an evaluation assignment, please write in first person</w:t>
      </w:r>
      <w:r w:rsidR="00CB77BC">
        <w:rPr>
          <w:rFonts w:asciiTheme="minorHAnsi" w:hAnsiTheme="minorHAnsi" w:cstheme="minorHAnsi"/>
          <w:color w:val="000000" w:themeColor="text1"/>
          <w:sz w:val="24"/>
          <w:szCs w:val="24"/>
        </w:rPr>
        <w:t xml:space="preserve"> voice</w:t>
      </w:r>
      <w:r w:rsidRPr="008E7BD4">
        <w:rPr>
          <w:rFonts w:asciiTheme="minorHAnsi" w:hAnsiTheme="minorHAnsi" w:cstheme="minorHAnsi"/>
          <w:color w:val="000000" w:themeColor="text1"/>
          <w:sz w:val="24"/>
          <w:szCs w:val="24"/>
        </w:rPr>
        <w:t>.</w:t>
      </w:r>
    </w:p>
    <w:p w14:paraId="28B3729C" w14:textId="77777777" w:rsidR="005C4D08" w:rsidRPr="008E7BD4" w:rsidRDefault="005C4D08" w:rsidP="005C4D08">
      <w:pPr>
        <w:pStyle w:val="Heading1"/>
        <w:numPr>
          <w:ilvl w:val="0"/>
          <w:numId w:val="4"/>
        </w:numPr>
        <w:spacing w:before="0"/>
        <w:rPr>
          <w:rFonts w:asciiTheme="minorHAnsi" w:hAnsiTheme="minorHAnsi" w:cstheme="minorHAnsi"/>
          <w:b/>
          <w:bCs/>
          <w:color w:val="000000" w:themeColor="text1"/>
          <w:sz w:val="24"/>
          <w:szCs w:val="24"/>
        </w:rPr>
      </w:pPr>
      <w:r w:rsidRPr="008E7BD4">
        <w:rPr>
          <w:rFonts w:asciiTheme="minorHAnsi" w:hAnsiTheme="minorHAnsi" w:cstheme="minorHAnsi"/>
          <w:color w:val="000000" w:themeColor="text1"/>
          <w:sz w:val="24"/>
          <w:szCs w:val="24"/>
        </w:rPr>
        <w:t xml:space="preserve">Your work should be free from error, </w:t>
      </w:r>
      <w:r w:rsidRPr="008E7BD4">
        <w:rPr>
          <w:rFonts w:asciiTheme="minorHAnsi" w:hAnsiTheme="minorHAnsi" w:cstheme="minorHAnsi"/>
          <w:color w:val="000000" w:themeColor="text1"/>
          <w:sz w:val="24"/>
          <w:szCs w:val="24"/>
          <w:u w:val="single"/>
        </w:rPr>
        <w:t>concise</w:t>
      </w:r>
      <w:r w:rsidRPr="008E7BD4">
        <w:rPr>
          <w:rFonts w:asciiTheme="minorHAnsi" w:hAnsiTheme="minorHAnsi" w:cstheme="minorHAnsi"/>
          <w:color w:val="000000" w:themeColor="text1"/>
          <w:sz w:val="24"/>
          <w:szCs w:val="24"/>
        </w:rPr>
        <w:t>, uncluttered, and easy to read. Please see the uploaded examples for guidance.</w:t>
      </w:r>
    </w:p>
    <w:p w14:paraId="07409587" w14:textId="77777777" w:rsidR="005C4D08" w:rsidRPr="008E7BD4" w:rsidRDefault="005C4D08" w:rsidP="005C4D08">
      <w:pPr>
        <w:pStyle w:val="Heading1"/>
        <w:spacing w:before="0"/>
        <w:ind w:left="360"/>
        <w:rPr>
          <w:rFonts w:asciiTheme="minorHAnsi" w:hAnsiTheme="minorHAnsi" w:cstheme="minorHAnsi"/>
          <w:color w:val="000000" w:themeColor="text1"/>
          <w:sz w:val="24"/>
          <w:szCs w:val="24"/>
        </w:rPr>
      </w:pPr>
      <w:r w:rsidRPr="008E7BD4">
        <w:rPr>
          <w:rFonts w:asciiTheme="minorHAnsi" w:hAnsiTheme="minorHAnsi" w:cstheme="minorHAnsi"/>
          <w:color w:val="000000" w:themeColor="text1"/>
          <w:sz w:val="24"/>
          <w:szCs w:val="24"/>
        </w:rPr>
        <w:br w:type="page"/>
      </w:r>
    </w:p>
    <w:p w14:paraId="74EB03AC" w14:textId="77777777" w:rsidR="001C371D" w:rsidRDefault="001C371D" w:rsidP="001C371D">
      <w:pPr>
        <w:jc w:val="both"/>
        <w:rPr>
          <w:b/>
          <w:bCs/>
        </w:rPr>
      </w:pPr>
      <w:r w:rsidRPr="001021F8">
        <w:rPr>
          <w:b/>
          <w:bCs/>
        </w:rPr>
        <w:lastRenderedPageBreak/>
        <w:t>f. Scoring Rubric</w:t>
      </w:r>
    </w:p>
    <w:p w14:paraId="53B52120" w14:textId="77777777" w:rsidR="005C4D08" w:rsidRPr="008E7BD4" w:rsidRDefault="005C4D08" w:rsidP="005C4D08">
      <w:pPr>
        <w:pStyle w:val="Heading1"/>
        <w:spacing w:before="0"/>
        <w:jc w:val="center"/>
        <w:rPr>
          <w:rFonts w:asciiTheme="minorHAnsi" w:hAnsiTheme="minorHAnsi" w:cstheme="minorHAnsi"/>
          <w:b/>
          <w:color w:val="000000" w:themeColor="text1"/>
          <w:sz w:val="24"/>
          <w:szCs w:val="24"/>
        </w:rPr>
      </w:pPr>
      <w:r w:rsidRPr="008E7BD4">
        <w:rPr>
          <w:rFonts w:asciiTheme="minorHAnsi" w:hAnsiTheme="minorHAnsi" w:cstheme="minorHAnsi"/>
          <w:color w:val="000000" w:themeColor="text1"/>
          <w:sz w:val="24"/>
          <w:szCs w:val="24"/>
        </w:rPr>
        <w:t>The College of New Jersey</w:t>
      </w:r>
    </w:p>
    <w:p w14:paraId="66C4B498" w14:textId="77777777" w:rsidR="005C4D08" w:rsidRPr="008E7BD4" w:rsidRDefault="005C4D08" w:rsidP="005C4D08">
      <w:pPr>
        <w:jc w:val="center"/>
        <w:rPr>
          <w:rFonts w:cstheme="minorHAnsi"/>
          <w:color w:val="000000" w:themeColor="text1"/>
        </w:rPr>
      </w:pPr>
      <w:r w:rsidRPr="008E7BD4">
        <w:rPr>
          <w:rFonts w:cstheme="minorHAnsi"/>
          <w:color w:val="000000" w:themeColor="text1"/>
        </w:rPr>
        <w:t>Department of Educational Administration and Secondary Education</w:t>
      </w:r>
    </w:p>
    <w:p w14:paraId="2351219C" w14:textId="77777777" w:rsidR="005C4D08" w:rsidRPr="008E7BD4" w:rsidRDefault="005C4D08" w:rsidP="005C4D08">
      <w:pPr>
        <w:pStyle w:val="Heading3"/>
        <w:spacing w:before="0"/>
        <w:jc w:val="center"/>
        <w:rPr>
          <w:rFonts w:asciiTheme="minorHAnsi" w:hAnsiTheme="minorHAnsi" w:cstheme="minorHAnsi"/>
          <w:color w:val="000000" w:themeColor="text1"/>
        </w:rPr>
      </w:pPr>
      <w:r w:rsidRPr="008E7BD4">
        <w:rPr>
          <w:rFonts w:asciiTheme="minorHAnsi" w:hAnsiTheme="minorHAnsi" w:cstheme="minorHAnsi"/>
          <w:color w:val="000000" w:themeColor="text1"/>
        </w:rPr>
        <w:t xml:space="preserve">Grading Rubric </w:t>
      </w:r>
      <w:r w:rsidRPr="008E7BD4">
        <w:rPr>
          <w:rFonts w:asciiTheme="minorHAnsi" w:hAnsiTheme="minorHAnsi" w:cstheme="minorHAnsi"/>
          <w:color w:val="000000"/>
        </w:rPr>
        <w:t>Curriculum Analysis Project</w:t>
      </w:r>
    </w:p>
    <w:tbl>
      <w:tblPr>
        <w:tblStyle w:val="TableGrid"/>
        <w:tblW w:w="9360" w:type="dxa"/>
        <w:tblLayout w:type="fixed"/>
        <w:tblLook w:val="04A0" w:firstRow="1" w:lastRow="0" w:firstColumn="1" w:lastColumn="0" w:noHBand="0" w:noVBand="1"/>
      </w:tblPr>
      <w:tblGrid>
        <w:gridCol w:w="1795"/>
        <w:gridCol w:w="2392"/>
        <w:gridCol w:w="2488"/>
        <w:gridCol w:w="2685"/>
      </w:tblGrid>
      <w:tr w:rsidR="005C4D08" w:rsidRPr="009D3B92" w14:paraId="6B050F06" w14:textId="77777777" w:rsidTr="00B81F03">
        <w:trPr>
          <w:trHeight w:val="413"/>
        </w:trPr>
        <w:tc>
          <w:tcPr>
            <w:tcW w:w="1795" w:type="dxa"/>
            <w:shd w:val="clear" w:color="auto" w:fill="D9D9D9" w:themeFill="background1" w:themeFillShade="D9"/>
          </w:tcPr>
          <w:p w14:paraId="7A8310D8"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color w:val="000000"/>
                <w:sz w:val="22"/>
                <w:szCs w:val="22"/>
              </w:rPr>
            </w:pPr>
            <w:r w:rsidRPr="009D3B92">
              <w:rPr>
                <w:rFonts w:cstheme="minorHAnsi"/>
                <w:b/>
                <w:color w:val="000000"/>
                <w:sz w:val="22"/>
                <w:szCs w:val="22"/>
              </w:rPr>
              <w:t>Components</w:t>
            </w:r>
          </w:p>
        </w:tc>
        <w:tc>
          <w:tcPr>
            <w:tcW w:w="2392" w:type="dxa"/>
            <w:shd w:val="clear" w:color="auto" w:fill="D9D9D9" w:themeFill="background1" w:themeFillShade="D9"/>
          </w:tcPr>
          <w:p w14:paraId="112A30FF" w14:textId="4F797A1E" w:rsidR="005C4D08" w:rsidRPr="009D3B92" w:rsidRDefault="00C37C8E"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color w:val="000000"/>
                <w:sz w:val="22"/>
                <w:szCs w:val="22"/>
              </w:rPr>
            </w:pPr>
            <w:r>
              <w:rPr>
                <w:rFonts w:cstheme="minorHAnsi"/>
                <w:b/>
                <w:color w:val="000000"/>
                <w:sz w:val="22"/>
                <w:szCs w:val="22"/>
              </w:rPr>
              <w:t>Unacceptable</w:t>
            </w:r>
          </w:p>
        </w:tc>
        <w:tc>
          <w:tcPr>
            <w:tcW w:w="2488" w:type="dxa"/>
            <w:shd w:val="clear" w:color="auto" w:fill="D9D9D9" w:themeFill="background1" w:themeFillShade="D9"/>
          </w:tcPr>
          <w:p w14:paraId="1AA66A4D" w14:textId="09F621BD" w:rsidR="005C4D08" w:rsidRPr="009D3B92" w:rsidRDefault="00C37C8E" w:rsidP="00C37C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color w:val="000000"/>
                <w:sz w:val="22"/>
                <w:szCs w:val="22"/>
              </w:rPr>
            </w:pPr>
            <w:r>
              <w:rPr>
                <w:rFonts w:cstheme="minorHAnsi"/>
                <w:b/>
                <w:color w:val="000000"/>
                <w:sz w:val="22"/>
                <w:szCs w:val="22"/>
              </w:rPr>
              <w:t>Acceptable</w:t>
            </w:r>
          </w:p>
        </w:tc>
        <w:tc>
          <w:tcPr>
            <w:tcW w:w="2685" w:type="dxa"/>
            <w:shd w:val="clear" w:color="auto" w:fill="D9D9D9" w:themeFill="background1" w:themeFillShade="D9"/>
          </w:tcPr>
          <w:p w14:paraId="7D48C045" w14:textId="6C248119" w:rsidR="005C4D08" w:rsidRPr="009D3B92" w:rsidRDefault="00C37C8E"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color w:val="000000"/>
                <w:sz w:val="22"/>
                <w:szCs w:val="22"/>
              </w:rPr>
            </w:pPr>
            <w:r>
              <w:rPr>
                <w:rFonts w:cstheme="minorHAnsi"/>
                <w:b/>
                <w:color w:val="000000"/>
                <w:sz w:val="22"/>
                <w:szCs w:val="22"/>
              </w:rPr>
              <w:t>Target</w:t>
            </w:r>
          </w:p>
        </w:tc>
      </w:tr>
      <w:tr w:rsidR="005C4D08" w:rsidRPr="009D3B92" w14:paraId="481A2E01" w14:textId="77777777" w:rsidTr="00B81F03">
        <w:trPr>
          <w:trHeight w:val="386"/>
        </w:trPr>
        <w:tc>
          <w:tcPr>
            <w:tcW w:w="1795" w:type="dxa"/>
          </w:tcPr>
          <w:p w14:paraId="3C1E520A"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1. Standards Alignment</w:t>
            </w:r>
            <w:r w:rsidRPr="009D3B92">
              <w:rPr>
                <w:rFonts w:cstheme="minorHAnsi"/>
                <w:sz w:val="22"/>
                <w:szCs w:val="22"/>
              </w:rPr>
              <w:t xml:space="preserve"> </w:t>
            </w:r>
          </w:p>
          <w:p w14:paraId="723E2305"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NELP 6.3</w:t>
            </w:r>
          </w:p>
          <w:p w14:paraId="54D26B67"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tc>
        <w:tc>
          <w:tcPr>
            <w:tcW w:w="2392" w:type="dxa"/>
          </w:tcPr>
          <w:p w14:paraId="276F4089"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Inaccurately assesses or fails to provide evidence of the extent curricular objectives, learning activities and assessments are aligned to NJ Student Learning Standards.</w:t>
            </w:r>
          </w:p>
        </w:tc>
        <w:tc>
          <w:tcPr>
            <w:tcW w:w="2488" w:type="dxa"/>
          </w:tcPr>
          <w:p w14:paraId="720B93BE"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Accurately assesses and provides supporting evidence of the extent curricular objectives and assessments are aligned to appropriate NJ Student Learning Standards.</w:t>
            </w:r>
          </w:p>
        </w:tc>
        <w:tc>
          <w:tcPr>
            <w:tcW w:w="2685" w:type="dxa"/>
          </w:tcPr>
          <w:p w14:paraId="412FE745"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9D3B92">
              <w:rPr>
                <w:rFonts w:cstheme="minorHAnsi"/>
                <w:color w:val="000000"/>
                <w:sz w:val="22"/>
                <w:szCs w:val="22"/>
              </w:rPr>
              <w:t xml:space="preserve">Accurately assesses and provides detailed supporting evidence of the extent curricular objectives, learning activities, and assessments are aligned to NJ Student Learning Standards </w:t>
            </w:r>
            <w:r w:rsidRPr="009D3B92">
              <w:rPr>
                <w:rFonts w:cstheme="minorHAnsi"/>
                <w:color w:val="000000" w:themeColor="text1"/>
                <w:sz w:val="22"/>
                <w:szCs w:val="22"/>
              </w:rPr>
              <w:t>and fully reflect key knowledge, skills, and understandings.</w:t>
            </w:r>
          </w:p>
          <w:p w14:paraId="65C816A9"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Revises the curriculum to bring the unit to closer to standards of quality in this area.</w:t>
            </w:r>
          </w:p>
        </w:tc>
      </w:tr>
      <w:tr w:rsidR="005C4D08" w:rsidRPr="009D3B92" w14:paraId="2C498B6C" w14:textId="77777777" w:rsidTr="00B81F03">
        <w:trPr>
          <w:trHeight w:val="386"/>
        </w:trPr>
        <w:tc>
          <w:tcPr>
            <w:tcW w:w="1795" w:type="dxa"/>
          </w:tcPr>
          <w:p w14:paraId="2F63C9AF" w14:textId="77777777" w:rsidR="005C4D08" w:rsidRPr="009D3B92" w:rsidRDefault="005C4D08" w:rsidP="00B81F03">
            <w:pPr>
              <w:outlineLvl w:val="0"/>
              <w:rPr>
                <w:rFonts w:cstheme="minorHAnsi"/>
                <w:sz w:val="22"/>
                <w:szCs w:val="22"/>
              </w:rPr>
            </w:pPr>
            <w:r w:rsidRPr="009D3B92">
              <w:rPr>
                <w:rFonts w:cstheme="minorHAnsi"/>
                <w:sz w:val="22"/>
                <w:szCs w:val="22"/>
              </w:rPr>
              <w:t>2. Assessment Efficacy</w:t>
            </w:r>
          </w:p>
          <w:p w14:paraId="223D18F1"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rPr>
            </w:pPr>
            <w:r w:rsidRPr="009D3B92">
              <w:rPr>
                <w:rFonts w:cstheme="minorHAnsi"/>
                <w:sz w:val="22"/>
                <w:szCs w:val="22"/>
              </w:rPr>
              <w:t xml:space="preserve">NELP 4.3 </w:t>
            </w:r>
          </w:p>
          <w:p w14:paraId="1CF28B47"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rPr>
            </w:pPr>
          </w:p>
        </w:tc>
        <w:tc>
          <w:tcPr>
            <w:tcW w:w="2392" w:type="dxa"/>
          </w:tcPr>
          <w:p w14:paraId="1FD5DF56"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Inaccurately assesses or fails to provide evidence of the technical soundness and cultural responsiveness of the unit’s summative assessments</w:t>
            </w:r>
          </w:p>
        </w:tc>
        <w:tc>
          <w:tcPr>
            <w:tcW w:w="2488" w:type="dxa"/>
          </w:tcPr>
          <w:p w14:paraId="6AE5B716"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Accurately assesses and provides supporting evidence regarding the technical soundness, instructional utility, and cultural responsiveness of the unit’s summative assessments</w:t>
            </w:r>
          </w:p>
        </w:tc>
        <w:tc>
          <w:tcPr>
            <w:tcW w:w="2685" w:type="dxa"/>
          </w:tcPr>
          <w:p w14:paraId="09ADC6D3"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Accurately assesses and provides detailed supporting evidence regarding the technical soundness, cultural responsiveness, and instructional utility of the unit’s formative and summative assessments.</w:t>
            </w:r>
          </w:p>
          <w:p w14:paraId="6AB13BA1"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Revises the curriculum to bring the unit to closer to standards of quality in this area.</w:t>
            </w:r>
          </w:p>
        </w:tc>
      </w:tr>
      <w:tr w:rsidR="005C4D08" w:rsidRPr="009D3B92" w14:paraId="59C50F00" w14:textId="77777777" w:rsidTr="00B81F03">
        <w:trPr>
          <w:trHeight w:val="386"/>
        </w:trPr>
        <w:tc>
          <w:tcPr>
            <w:tcW w:w="1795" w:type="dxa"/>
          </w:tcPr>
          <w:p w14:paraId="1C767259"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3. Pedagogical Appropriateness</w:t>
            </w:r>
          </w:p>
          <w:p w14:paraId="070D7815"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2AC47680"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NELP 4.2</w:t>
            </w:r>
          </w:p>
          <w:p w14:paraId="4E02E12B"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tc>
        <w:tc>
          <w:tcPr>
            <w:tcW w:w="2392" w:type="dxa"/>
          </w:tcPr>
          <w:p w14:paraId="5F851233"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Inaccurately assesses or fails to provide evidence of the extent instructional strategies are evidence-based and likely to engage each student in meaningful learning.</w:t>
            </w:r>
          </w:p>
        </w:tc>
        <w:tc>
          <w:tcPr>
            <w:tcW w:w="2488" w:type="dxa"/>
          </w:tcPr>
          <w:p w14:paraId="0F1817BB"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Accurately assesses and provides supporting evidence of the extent instructional strategies are evidence-based and likely to engage each student in meaningful learning.</w:t>
            </w:r>
          </w:p>
        </w:tc>
        <w:tc>
          <w:tcPr>
            <w:tcW w:w="2685" w:type="dxa"/>
          </w:tcPr>
          <w:p w14:paraId="2A53154F"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 xml:space="preserve">Accurately assesses and provides detailed supporting evidence of the extent instructional strategies, resources, technologies, and supports are evidence-based and likely to engage each student in challenging and meaningful learning. </w:t>
            </w:r>
          </w:p>
          <w:p w14:paraId="50655044"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Revises the curriculum to bring the unit to closer to standards of quality in this area.</w:t>
            </w:r>
          </w:p>
        </w:tc>
      </w:tr>
      <w:tr w:rsidR="005C4D08" w:rsidRPr="009D3B92" w14:paraId="67DB2407" w14:textId="77777777" w:rsidTr="00B81F03">
        <w:tc>
          <w:tcPr>
            <w:tcW w:w="1795" w:type="dxa"/>
          </w:tcPr>
          <w:p w14:paraId="77DD6C15"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lastRenderedPageBreak/>
              <w:t>4. Equitable  Opportunity</w:t>
            </w:r>
          </w:p>
          <w:p w14:paraId="04884FDA" w14:textId="77777777" w:rsidR="005C4D08" w:rsidRPr="009D3B92" w:rsidRDefault="005C4D08" w:rsidP="00B81F03">
            <w:pPr>
              <w:outlineLvl w:val="0"/>
              <w:rPr>
                <w:rFonts w:cstheme="minorHAnsi"/>
                <w:sz w:val="22"/>
                <w:szCs w:val="22"/>
              </w:rPr>
            </w:pPr>
            <w:r w:rsidRPr="009D3B92">
              <w:rPr>
                <w:rFonts w:cstheme="minorHAnsi"/>
                <w:sz w:val="22"/>
                <w:szCs w:val="22"/>
              </w:rPr>
              <w:t>NELP 3.2</w:t>
            </w:r>
          </w:p>
          <w:p w14:paraId="7C6C1929" w14:textId="77777777" w:rsidR="005C4D08" w:rsidRPr="009D3B92" w:rsidRDefault="005C4D08" w:rsidP="00B81F03">
            <w:pPr>
              <w:outlineLvl w:val="0"/>
              <w:rPr>
                <w:rFonts w:cstheme="minorHAnsi"/>
                <w:color w:val="000000"/>
                <w:sz w:val="22"/>
                <w:szCs w:val="22"/>
              </w:rPr>
            </w:pPr>
          </w:p>
        </w:tc>
        <w:tc>
          <w:tcPr>
            <w:tcW w:w="2392" w:type="dxa"/>
          </w:tcPr>
          <w:p w14:paraId="5A0E3839"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Inaccurately assesses or fails to provide evidence of the extent instructional strategies and/or content are differentiated appropriately to accommodate language, learning, OR cultural differences.</w:t>
            </w:r>
          </w:p>
        </w:tc>
        <w:tc>
          <w:tcPr>
            <w:tcW w:w="2488" w:type="dxa"/>
          </w:tcPr>
          <w:p w14:paraId="6E8FC622"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Accurately assesses and provides supporting evidence of the extent instructional strategies, strategies, and/or content are differentiated appropriately to accommodate language, learning, and cultural differences.</w:t>
            </w:r>
          </w:p>
        </w:tc>
        <w:tc>
          <w:tcPr>
            <w:tcW w:w="2685" w:type="dxa"/>
          </w:tcPr>
          <w:p w14:paraId="1CB107FB"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Accurately assesses and provides detailed supporting evidence of the extent instructional technologies and strategies and/or content are differentiated appropriately to accommodate language, learning, and cultural differences.</w:t>
            </w:r>
          </w:p>
          <w:p w14:paraId="4E8BE4F3"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Revises the curriculum to bring the unit to closer to standards of quality in this area.</w:t>
            </w:r>
          </w:p>
        </w:tc>
      </w:tr>
      <w:tr w:rsidR="005C4D08" w:rsidRPr="009D3B92" w14:paraId="414EF926" w14:textId="77777777" w:rsidTr="00B81F03">
        <w:tc>
          <w:tcPr>
            <w:tcW w:w="1795" w:type="dxa"/>
          </w:tcPr>
          <w:p w14:paraId="5D021402"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5. Coherence</w:t>
            </w:r>
          </w:p>
          <w:p w14:paraId="33C6670C" w14:textId="77777777" w:rsidR="005C4D08" w:rsidRPr="009D3B92" w:rsidRDefault="005C4D08" w:rsidP="00B81F03">
            <w:pPr>
              <w:outlineLvl w:val="0"/>
              <w:rPr>
                <w:rFonts w:cstheme="minorHAnsi"/>
                <w:color w:val="000000"/>
                <w:sz w:val="22"/>
                <w:szCs w:val="22"/>
              </w:rPr>
            </w:pPr>
            <w:r w:rsidRPr="009D3B92">
              <w:rPr>
                <w:rFonts w:cstheme="minorHAnsi"/>
                <w:color w:val="000000"/>
                <w:sz w:val="22"/>
                <w:szCs w:val="22"/>
              </w:rPr>
              <w:t>NELP 4.4</w:t>
            </w:r>
          </w:p>
          <w:p w14:paraId="5D6BF46D" w14:textId="77777777" w:rsidR="005C4D08" w:rsidRPr="009D3B92" w:rsidRDefault="005C4D08" w:rsidP="00B81F03">
            <w:pPr>
              <w:outlineLvl w:val="0"/>
              <w:rPr>
                <w:rFonts w:cstheme="minorHAnsi"/>
                <w:color w:val="000000"/>
                <w:sz w:val="22"/>
                <w:szCs w:val="22"/>
              </w:rPr>
            </w:pPr>
          </w:p>
        </w:tc>
        <w:tc>
          <w:tcPr>
            <w:tcW w:w="2392" w:type="dxa"/>
          </w:tcPr>
          <w:p w14:paraId="118CD4DD"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Inaccurately assesses or fails to provide evidence regarding the curricular unit’s cross-grade level coherence.</w:t>
            </w:r>
          </w:p>
        </w:tc>
        <w:tc>
          <w:tcPr>
            <w:tcW w:w="2488" w:type="dxa"/>
          </w:tcPr>
          <w:p w14:paraId="62CEDEE6"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Accurately assesses and provides some supporting evidence regarding the curricular unit’s coherence and the extent the unit is part of a cross-grade level system or plan.</w:t>
            </w:r>
          </w:p>
        </w:tc>
        <w:tc>
          <w:tcPr>
            <w:tcW w:w="2685" w:type="dxa"/>
          </w:tcPr>
          <w:p w14:paraId="354A1BBC"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 xml:space="preserve">Accurately assesses and provides detailed supporting evidence regarding the curricular unit’s coherence and the extent the unit is part of a cross-grade level system or plan. </w:t>
            </w:r>
          </w:p>
          <w:p w14:paraId="7716D0A3"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Revises the curriculum to bring the unit to closer to standards of quality in this area.</w:t>
            </w:r>
          </w:p>
        </w:tc>
      </w:tr>
      <w:tr w:rsidR="005C4D08" w:rsidRPr="009D3B92" w14:paraId="5F2D9C16" w14:textId="77777777" w:rsidTr="00B81F03">
        <w:tc>
          <w:tcPr>
            <w:tcW w:w="1795" w:type="dxa"/>
          </w:tcPr>
          <w:p w14:paraId="0DB8EB11"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6. Evaluation and Improvements</w:t>
            </w:r>
          </w:p>
          <w:p w14:paraId="0A1EB0DD"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NELP 4.1</w:t>
            </w:r>
          </w:p>
          <w:p w14:paraId="5673BEEA"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tc>
        <w:tc>
          <w:tcPr>
            <w:tcW w:w="2392" w:type="dxa"/>
          </w:tcPr>
          <w:p w14:paraId="316FEC6D"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Evaluative statement and/or recommendations are missing, lack specificity, or are misaligned with the prior analyses.</w:t>
            </w:r>
          </w:p>
        </w:tc>
        <w:tc>
          <w:tcPr>
            <w:tcW w:w="2488" w:type="dxa"/>
          </w:tcPr>
          <w:p w14:paraId="2DCDEE23"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Makes an appropriate evaluative statement regarding overall curricular quality and provides two concrete and specific suggestions for revising or successfully implementing the curricular program that align with the prior analyses.</w:t>
            </w:r>
          </w:p>
        </w:tc>
        <w:tc>
          <w:tcPr>
            <w:tcW w:w="2685" w:type="dxa"/>
          </w:tcPr>
          <w:p w14:paraId="503574B4"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9D3B92">
              <w:rPr>
                <w:rFonts w:cstheme="minorHAnsi"/>
                <w:color w:val="000000"/>
                <w:sz w:val="22"/>
                <w:szCs w:val="22"/>
              </w:rPr>
              <w:t>Makes an appropriate evaluative statement regarding overall curricular quality and provides two or more concrete and specific suggestions for revising or successfully implementing the curricular program that align with the prior analyses.</w:t>
            </w:r>
          </w:p>
          <w:p w14:paraId="2DCAFBE0" w14:textId="77777777" w:rsidR="005C4D08" w:rsidRPr="009D3B92" w:rsidRDefault="005C4D08" w:rsidP="00B81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22"/>
                <w:szCs w:val="22"/>
              </w:rPr>
            </w:pPr>
            <w:r w:rsidRPr="009D3B92">
              <w:rPr>
                <w:rFonts w:cstheme="minorHAnsi"/>
                <w:color w:val="000000"/>
                <w:sz w:val="22"/>
                <w:szCs w:val="22"/>
              </w:rPr>
              <w:t>Implements one or more of the suggestions in a school context.</w:t>
            </w:r>
          </w:p>
        </w:tc>
      </w:tr>
    </w:tbl>
    <w:p w14:paraId="73C9DE6B" w14:textId="77777777" w:rsidR="005C4D08" w:rsidRPr="008E7BD4" w:rsidRDefault="005C4D08" w:rsidP="005C4D08">
      <w:pPr>
        <w:rPr>
          <w:rFonts w:cstheme="minorHAnsi"/>
          <w:b/>
          <w:color w:val="000000"/>
        </w:rPr>
      </w:pPr>
    </w:p>
    <w:p w14:paraId="75B172E9" w14:textId="77777777" w:rsidR="008E7BD4" w:rsidRPr="008E7BD4" w:rsidRDefault="008E7BD4" w:rsidP="008E7BD4">
      <w:pPr>
        <w:rPr>
          <w:rFonts w:cstheme="minorHAnsi"/>
          <w:b/>
          <w:bCs/>
        </w:rPr>
      </w:pPr>
    </w:p>
    <w:p w14:paraId="77CB0F47" w14:textId="3FE2AA70" w:rsidR="008E7BD4" w:rsidRPr="008E7BD4" w:rsidRDefault="008E7BD4" w:rsidP="008E7BD4">
      <w:pPr>
        <w:rPr>
          <w:rFonts w:cstheme="minorHAnsi"/>
          <w:b/>
          <w:color w:val="000000" w:themeColor="text1"/>
        </w:rPr>
      </w:pPr>
      <w:r w:rsidRPr="008E7BD4">
        <w:rPr>
          <w:rFonts w:cstheme="minorHAnsi"/>
          <w:b/>
          <w:bCs/>
        </w:rPr>
        <w:t>Rubric Validity</w:t>
      </w:r>
    </w:p>
    <w:p w14:paraId="44161C9D" w14:textId="77777777" w:rsidR="008E7BD4" w:rsidRPr="008E7BD4" w:rsidRDefault="008E7BD4" w:rsidP="008E7BD4">
      <w:pPr>
        <w:jc w:val="both"/>
        <w:rPr>
          <w:rFonts w:cstheme="minorHAnsi"/>
        </w:rPr>
      </w:pPr>
      <w:proofErr w:type="spellStart"/>
      <w:r w:rsidRPr="008E7BD4">
        <w:rPr>
          <w:rFonts w:cstheme="minorHAnsi"/>
        </w:rPr>
        <w:t>Lawshe’s</w:t>
      </w:r>
      <w:proofErr w:type="spellEnd"/>
      <w:r w:rsidRPr="008E7BD4">
        <w:rPr>
          <w:rFonts w:cstheme="minorHAnsi"/>
        </w:rPr>
        <w:t xml:space="preserve"> Content Validity Ratio (5 panelists)</w:t>
      </w:r>
    </w:p>
    <w:p w14:paraId="1F549CC3" w14:textId="77777777" w:rsidR="008E7BD4" w:rsidRPr="008E7BD4" w:rsidRDefault="008E7BD4" w:rsidP="008E7BD4">
      <w:pPr>
        <w:rPr>
          <w:rFonts w:cstheme="minorHAnsi"/>
          <w:b/>
          <w:color w:val="000000" w:themeColor="text1"/>
        </w:rPr>
      </w:pPr>
    </w:p>
    <w:p w14:paraId="0C0EA3A2" w14:textId="792760B9" w:rsidR="008E7BD4" w:rsidRPr="008E7BD4" w:rsidRDefault="008E7BD4" w:rsidP="008E7BD4">
      <w:pPr>
        <w:rPr>
          <w:rFonts w:cstheme="minorHAnsi"/>
          <w:bCs/>
          <w:color w:val="000000" w:themeColor="text1"/>
        </w:rPr>
      </w:pPr>
      <w:r w:rsidRPr="008E7BD4">
        <w:rPr>
          <w:rFonts w:cstheme="minorHAnsi"/>
          <w:bCs/>
          <w:color w:val="000000" w:themeColor="text1"/>
        </w:rPr>
        <w:t>Standards Alignment</w:t>
      </w:r>
      <w:r w:rsidRPr="008E7BD4">
        <w:rPr>
          <w:rFonts w:cstheme="minorHAnsi"/>
          <w:bCs/>
          <w:color w:val="000000" w:themeColor="text1"/>
        </w:rPr>
        <w:tab/>
      </w:r>
      <w:r w:rsidRPr="008E7BD4">
        <w:rPr>
          <w:rFonts w:cstheme="minorHAnsi"/>
          <w:bCs/>
          <w:color w:val="000000" w:themeColor="text1"/>
        </w:rPr>
        <w:tab/>
        <w:t>1.0</w:t>
      </w:r>
    </w:p>
    <w:p w14:paraId="28A83992" w14:textId="77777777" w:rsidR="008E7BD4" w:rsidRPr="008E7BD4" w:rsidRDefault="008E7BD4" w:rsidP="008E7BD4">
      <w:pPr>
        <w:rPr>
          <w:rFonts w:cstheme="minorHAnsi"/>
          <w:bCs/>
          <w:color w:val="000000" w:themeColor="text1"/>
        </w:rPr>
      </w:pPr>
      <w:r w:rsidRPr="008E7BD4">
        <w:rPr>
          <w:rFonts w:cstheme="minorHAnsi"/>
          <w:bCs/>
          <w:color w:val="000000" w:themeColor="text1"/>
        </w:rPr>
        <w:t>Assessments</w:t>
      </w:r>
      <w:r w:rsidRPr="008E7BD4">
        <w:rPr>
          <w:rFonts w:cstheme="minorHAnsi"/>
          <w:bCs/>
          <w:color w:val="000000" w:themeColor="text1"/>
        </w:rPr>
        <w:tab/>
      </w:r>
      <w:r w:rsidRPr="008E7BD4">
        <w:rPr>
          <w:rFonts w:cstheme="minorHAnsi"/>
          <w:bCs/>
          <w:color w:val="000000" w:themeColor="text1"/>
        </w:rPr>
        <w:tab/>
      </w:r>
      <w:r w:rsidRPr="008E7BD4">
        <w:rPr>
          <w:rFonts w:cstheme="minorHAnsi"/>
          <w:bCs/>
          <w:color w:val="000000" w:themeColor="text1"/>
        </w:rPr>
        <w:tab/>
        <w:t>0.2</w:t>
      </w:r>
    </w:p>
    <w:p w14:paraId="58B566F6" w14:textId="57950C84" w:rsidR="008E7BD4" w:rsidRPr="008E7BD4" w:rsidRDefault="008E7BD4" w:rsidP="008E7BD4">
      <w:pPr>
        <w:rPr>
          <w:rFonts w:cstheme="minorHAnsi"/>
          <w:bCs/>
          <w:color w:val="000000" w:themeColor="text1"/>
        </w:rPr>
      </w:pPr>
      <w:r w:rsidRPr="008E7BD4">
        <w:rPr>
          <w:rFonts w:cstheme="minorHAnsi"/>
          <w:bCs/>
          <w:color w:val="000000" w:themeColor="text1"/>
        </w:rPr>
        <w:lastRenderedPageBreak/>
        <w:t>Pedagogy</w:t>
      </w:r>
      <w:r w:rsidRPr="008E7BD4">
        <w:rPr>
          <w:rFonts w:cstheme="minorHAnsi"/>
          <w:bCs/>
          <w:color w:val="000000" w:themeColor="text1"/>
        </w:rPr>
        <w:tab/>
      </w:r>
      <w:r w:rsidRPr="008E7BD4">
        <w:rPr>
          <w:rFonts w:cstheme="minorHAnsi"/>
          <w:bCs/>
          <w:color w:val="000000" w:themeColor="text1"/>
        </w:rPr>
        <w:tab/>
      </w:r>
      <w:r w:rsidRPr="008E7BD4">
        <w:rPr>
          <w:rFonts w:cstheme="minorHAnsi"/>
          <w:bCs/>
          <w:color w:val="000000" w:themeColor="text1"/>
        </w:rPr>
        <w:tab/>
        <w:t>0.6</w:t>
      </w:r>
    </w:p>
    <w:p w14:paraId="423BCBCD" w14:textId="13629C1C" w:rsidR="008E7BD4" w:rsidRPr="008E7BD4" w:rsidRDefault="008E7BD4" w:rsidP="008E7BD4">
      <w:pPr>
        <w:rPr>
          <w:rFonts w:cstheme="minorHAnsi"/>
          <w:bCs/>
          <w:color w:val="000000" w:themeColor="text1"/>
        </w:rPr>
      </w:pPr>
      <w:r w:rsidRPr="008E7BD4">
        <w:rPr>
          <w:rFonts w:cstheme="minorHAnsi"/>
          <w:bCs/>
          <w:color w:val="000000" w:themeColor="text1"/>
        </w:rPr>
        <w:t>Equitable Opportunity</w:t>
      </w:r>
      <w:r w:rsidRPr="008E7BD4">
        <w:rPr>
          <w:rFonts w:cstheme="minorHAnsi"/>
          <w:bCs/>
          <w:color w:val="000000" w:themeColor="text1"/>
        </w:rPr>
        <w:tab/>
        <w:t>0.6</w:t>
      </w:r>
    </w:p>
    <w:p w14:paraId="0B06488C" w14:textId="7CA0A51C" w:rsidR="008E7BD4" w:rsidRPr="008E7BD4" w:rsidRDefault="008E7BD4" w:rsidP="008E7BD4">
      <w:pPr>
        <w:rPr>
          <w:rFonts w:cstheme="minorHAnsi"/>
          <w:bCs/>
          <w:color w:val="000000" w:themeColor="text1"/>
        </w:rPr>
      </w:pPr>
      <w:r w:rsidRPr="008E7BD4">
        <w:rPr>
          <w:rFonts w:cstheme="minorHAnsi"/>
          <w:bCs/>
          <w:color w:val="000000" w:themeColor="text1"/>
        </w:rPr>
        <w:t>Cross-curricular connections</w:t>
      </w:r>
      <w:r w:rsidRPr="008E7BD4">
        <w:rPr>
          <w:rFonts w:cstheme="minorHAnsi"/>
          <w:bCs/>
          <w:color w:val="000000" w:themeColor="text1"/>
        </w:rPr>
        <w:tab/>
        <w:t>-0.2</w:t>
      </w:r>
      <w:r w:rsidR="00CB77BC">
        <w:rPr>
          <w:rFonts w:cstheme="minorHAnsi"/>
          <w:bCs/>
          <w:color w:val="000000" w:themeColor="text1"/>
        </w:rPr>
        <w:t xml:space="preserve"> before revision, 0.6 after revision</w:t>
      </w:r>
    </w:p>
    <w:p w14:paraId="0B19EADE" w14:textId="77777777" w:rsidR="008E7BD4" w:rsidRPr="008E7BD4" w:rsidRDefault="008E7BD4" w:rsidP="008E7BD4">
      <w:pPr>
        <w:rPr>
          <w:rFonts w:cstheme="minorHAnsi"/>
          <w:bCs/>
          <w:color w:val="000000" w:themeColor="text1"/>
        </w:rPr>
      </w:pPr>
      <w:r w:rsidRPr="008E7BD4">
        <w:rPr>
          <w:rFonts w:cstheme="minorHAnsi"/>
          <w:bCs/>
          <w:color w:val="000000" w:themeColor="text1"/>
        </w:rPr>
        <w:t>Evaluation</w:t>
      </w:r>
      <w:r w:rsidRPr="008E7BD4">
        <w:rPr>
          <w:rFonts w:cstheme="minorHAnsi"/>
          <w:bCs/>
          <w:color w:val="000000" w:themeColor="text1"/>
        </w:rPr>
        <w:tab/>
      </w:r>
      <w:r w:rsidRPr="008E7BD4">
        <w:rPr>
          <w:rFonts w:cstheme="minorHAnsi"/>
          <w:bCs/>
          <w:color w:val="000000" w:themeColor="text1"/>
        </w:rPr>
        <w:tab/>
      </w:r>
      <w:r w:rsidRPr="008E7BD4">
        <w:rPr>
          <w:rFonts w:cstheme="minorHAnsi"/>
          <w:bCs/>
          <w:color w:val="000000" w:themeColor="text1"/>
        </w:rPr>
        <w:tab/>
        <w:t>0.6</w:t>
      </w:r>
    </w:p>
    <w:p w14:paraId="7C540F7A" w14:textId="77777777" w:rsidR="008E7BD4" w:rsidRPr="008E7BD4" w:rsidRDefault="008E7BD4" w:rsidP="008E7BD4">
      <w:pPr>
        <w:rPr>
          <w:rFonts w:cstheme="minorHAnsi"/>
          <w:b/>
          <w:color w:val="000000" w:themeColor="text1"/>
        </w:rPr>
      </w:pPr>
    </w:p>
    <w:p w14:paraId="22669453" w14:textId="77777777" w:rsidR="005C4D08" w:rsidRPr="008E7BD4" w:rsidRDefault="005C4D08" w:rsidP="005C4D08">
      <w:pPr>
        <w:rPr>
          <w:rFonts w:cstheme="minorHAnsi"/>
        </w:rPr>
      </w:pPr>
    </w:p>
    <w:p w14:paraId="45FADF96" w14:textId="1A625A52" w:rsidR="00225A64" w:rsidRPr="008E7BD4" w:rsidRDefault="00225A64" w:rsidP="00225A64">
      <w:pPr>
        <w:jc w:val="both"/>
        <w:rPr>
          <w:rFonts w:cstheme="minorHAnsi"/>
          <w:b/>
          <w:bCs/>
        </w:rPr>
      </w:pPr>
      <w:r w:rsidRPr="008E7BD4">
        <w:rPr>
          <w:rFonts w:cstheme="minorHAnsi"/>
          <w:b/>
          <w:bCs/>
        </w:rPr>
        <w:t xml:space="preserve">g. </w:t>
      </w:r>
      <w:r w:rsidR="00456412" w:rsidRPr="008E7BD4">
        <w:rPr>
          <w:rFonts w:cstheme="minorHAnsi"/>
          <w:b/>
          <w:bCs/>
        </w:rPr>
        <w:t>Data Tables</w:t>
      </w:r>
    </w:p>
    <w:p w14:paraId="26B083D8" w14:textId="0807AA1C" w:rsidR="00563CA7" w:rsidRPr="008E7BD4" w:rsidRDefault="00563CA7" w:rsidP="00563CA7">
      <w:pPr>
        <w:jc w:val="both"/>
        <w:rPr>
          <w:rFonts w:cstheme="minorHAnsi"/>
        </w:rPr>
      </w:pPr>
      <w:r w:rsidRPr="008E7BD4">
        <w:rPr>
          <w:rFonts w:cstheme="minorHAnsi"/>
        </w:rPr>
        <w:t>Inter-Rater Reliability</w:t>
      </w:r>
      <w:r w:rsidR="002F3B23">
        <w:rPr>
          <w:rFonts w:cstheme="minorHAnsi"/>
        </w:rPr>
        <w:t>: Two assessors = 83%</w:t>
      </w:r>
    </w:p>
    <w:p w14:paraId="4A2FCBF6" w14:textId="7C2D20A2" w:rsidR="00563CA7" w:rsidRPr="008E7BD4" w:rsidRDefault="00563CA7" w:rsidP="00225A64">
      <w:pPr>
        <w:jc w:val="both"/>
        <w:rPr>
          <w:rFonts w:cstheme="minorHAnsi"/>
          <w:b/>
          <w:bCs/>
        </w:rPr>
      </w:pPr>
    </w:p>
    <w:p w14:paraId="2E9C8825" w14:textId="77777777" w:rsidR="008E7BD4" w:rsidRPr="008E7BD4" w:rsidRDefault="008E7BD4" w:rsidP="008E7BD4">
      <w:pPr>
        <w:rPr>
          <w:rFonts w:cstheme="minorHAnsi"/>
          <w:b/>
          <w:color w:val="000000" w:themeColor="text1"/>
        </w:rPr>
      </w:pPr>
      <w:r w:rsidRPr="008E7BD4">
        <w:rPr>
          <w:rFonts w:cstheme="minorHAnsi"/>
          <w:b/>
          <w:color w:val="000000" w:themeColor="text1"/>
        </w:rPr>
        <w:t>Spring 2019</w:t>
      </w:r>
    </w:p>
    <w:p w14:paraId="461FBA06" w14:textId="77777777" w:rsidR="008E7BD4" w:rsidRPr="008E7BD4" w:rsidRDefault="008E7BD4" w:rsidP="008E7BD4">
      <w:pPr>
        <w:rPr>
          <w:rFonts w:cstheme="minorHAnsi"/>
          <w:color w:val="000000" w:themeColor="text1"/>
        </w:rPr>
      </w:pPr>
      <w:r w:rsidRPr="008E7BD4">
        <w:rPr>
          <w:rFonts w:cstheme="minorHAnsi"/>
          <w:color w:val="000000" w:themeColor="text1"/>
        </w:rPr>
        <w:t xml:space="preserve">Master’s </w:t>
      </w:r>
      <w:r w:rsidRPr="008E7BD4">
        <w:rPr>
          <w:rFonts w:cstheme="minorHAnsi"/>
          <w:i/>
          <w:iCs/>
          <w:color w:val="000000" w:themeColor="text1"/>
        </w:rPr>
        <w:t>n</w:t>
      </w:r>
      <w:r w:rsidRPr="008E7BD4">
        <w:rPr>
          <w:rFonts w:cstheme="minorHAnsi"/>
          <w:color w:val="000000" w:themeColor="text1"/>
        </w:rPr>
        <w:t xml:space="preserve"> = 6</w:t>
      </w:r>
      <w:r w:rsidRPr="008E7BD4">
        <w:rPr>
          <w:rFonts w:cstheme="minorHAnsi"/>
          <w:color w:val="000000" w:themeColor="text1"/>
        </w:rPr>
        <w:tab/>
      </w:r>
      <w:r w:rsidRPr="008E7BD4">
        <w:rPr>
          <w:rFonts w:cstheme="minorHAnsi"/>
          <w:color w:val="000000" w:themeColor="text1"/>
        </w:rPr>
        <w:tab/>
        <w:t xml:space="preserve">Post Masters </w:t>
      </w:r>
      <w:r w:rsidRPr="008E7BD4">
        <w:rPr>
          <w:rFonts w:cstheme="minorHAnsi"/>
          <w:i/>
          <w:iCs/>
          <w:color w:val="000000" w:themeColor="text1"/>
        </w:rPr>
        <w:t>n</w:t>
      </w:r>
      <w:r w:rsidRPr="008E7BD4">
        <w:rPr>
          <w:rFonts w:cstheme="minorHAnsi"/>
          <w:color w:val="000000" w:themeColor="text1"/>
        </w:rPr>
        <w:t xml:space="preserve"> = 1</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8E7BD4" w:rsidRPr="008E7BD4" w14:paraId="524BAC95" w14:textId="77777777" w:rsidTr="00B81F03">
        <w:tc>
          <w:tcPr>
            <w:tcW w:w="1025" w:type="dxa"/>
          </w:tcPr>
          <w:p w14:paraId="4A305611"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p>
        </w:tc>
        <w:tc>
          <w:tcPr>
            <w:tcW w:w="2299" w:type="dxa"/>
            <w:gridSpan w:val="2"/>
            <w:shd w:val="clear" w:color="auto" w:fill="F2F2F2" w:themeFill="background1" w:themeFillShade="F2"/>
          </w:tcPr>
          <w:p w14:paraId="3B629481" w14:textId="77777777" w:rsidR="008E7BD4" w:rsidRPr="008E7BD4" w:rsidRDefault="008E7BD4" w:rsidP="00B81F03">
            <w:pPr>
              <w:pStyle w:val="Heading2"/>
              <w:numPr>
                <w:ilvl w:val="0"/>
                <w:numId w:val="0"/>
              </w:numPr>
              <w:spacing w:before="0" w:after="0"/>
              <w:ind w:left="36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Unacceptable (1)</w:t>
            </w:r>
          </w:p>
        </w:tc>
        <w:tc>
          <w:tcPr>
            <w:tcW w:w="2341" w:type="dxa"/>
            <w:gridSpan w:val="2"/>
          </w:tcPr>
          <w:p w14:paraId="4FE7F9E5" w14:textId="77777777" w:rsidR="008E7BD4" w:rsidRPr="008E7BD4" w:rsidRDefault="008E7BD4" w:rsidP="00B81F03">
            <w:pPr>
              <w:pStyle w:val="Heading2"/>
              <w:numPr>
                <w:ilvl w:val="0"/>
                <w:numId w:val="0"/>
              </w:numPr>
              <w:spacing w:before="0" w:after="0"/>
              <w:ind w:left="36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Acceptable (2)</w:t>
            </w:r>
          </w:p>
        </w:tc>
        <w:tc>
          <w:tcPr>
            <w:tcW w:w="2520" w:type="dxa"/>
            <w:gridSpan w:val="2"/>
            <w:shd w:val="clear" w:color="auto" w:fill="F2F2F2" w:themeFill="background1" w:themeFillShade="F2"/>
          </w:tcPr>
          <w:p w14:paraId="116AA8A6" w14:textId="77777777" w:rsidR="008E7BD4" w:rsidRPr="008E7BD4" w:rsidRDefault="008E7BD4" w:rsidP="00B81F03">
            <w:pPr>
              <w:pStyle w:val="Heading2"/>
              <w:numPr>
                <w:ilvl w:val="0"/>
                <w:numId w:val="0"/>
              </w:numPr>
              <w:spacing w:before="0" w:after="0"/>
              <w:ind w:left="36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Target (3)</w:t>
            </w:r>
          </w:p>
        </w:tc>
        <w:tc>
          <w:tcPr>
            <w:tcW w:w="1165" w:type="dxa"/>
          </w:tcPr>
          <w:p w14:paraId="43D4B5B5" w14:textId="77777777" w:rsidR="008E7BD4" w:rsidRPr="008E7BD4" w:rsidRDefault="008E7BD4" w:rsidP="00B81F03">
            <w:pPr>
              <w:pStyle w:val="Heading2"/>
              <w:numPr>
                <w:ilvl w:val="0"/>
                <w:numId w:val="0"/>
              </w:numPr>
              <w:spacing w:before="0" w:after="0"/>
              <w:ind w:left="360"/>
              <w:jc w:val="center"/>
              <w:outlineLvl w:val="1"/>
              <w:rPr>
                <w:rFonts w:cstheme="minorHAnsi"/>
                <w:b w:val="0"/>
                <w:bCs w:val="0"/>
                <w:color w:val="000000" w:themeColor="text1"/>
                <w:sz w:val="22"/>
                <w:szCs w:val="22"/>
              </w:rPr>
            </w:pPr>
          </w:p>
        </w:tc>
      </w:tr>
      <w:tr w:rsidR="008E7BD4" w:rsidRPr="008E7BD4" w14:paraId="394296E6" w14:textId="77777777" w:rsidTr="00B81F03">
        <w:tc>
          <w:tcPr>
            <w:tcW w:w="1025" w:type="dxa"/>
          </w:tcPr>
          <w:p w14:paraId="3C28A313"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Standard</w:t>
            </w:r>
          </w:p>
        </w:tc>
        <w:tc>
          <w:tcPr>
            <w:tcW w:w="1040" w:type="dxa"/>
            <w:shd w:val="clear" w:color="auto" w:fill="F2F2F2" w:themeFill="background1" w:themeFillShade="F2"/>
          </w:tcPr>
          <w:p w14:paraId="7E04ECA9"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Master’s</w:t>
            </w:r>
          </w:p>
        </w:tc>
        <w:tc>
          <w:tcPr>
            <w:tcW w:w="1259" w:type="dxa"/>
            <w:shd w:val="clear" w:color="auto" w:fill="F2F2F2" w:themeFill="background1" w:themeFillShade="F2"/>
          </w:tcPr>
          <w:p w14:paraId="1DF80AA7"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Post Mast.</w:t>
            </w:r>
          </w:p>
        </w:tc>
        <w:tc>
          <w:tcPr>
            <w:tcW w:w="1081" w:type="dxa"/>
          </w:tcPr>
          <w:p w14:paraId="4FBD7ADD"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Master’s</w:t>
            </w:r>
          </w:p>
        </w:tc>
        <w:tc>
          <w:tcPr>
            <w:tcW w:w="1260" w:type="dxa"/>
          </w:tcPr>
          <w:p w14:paraId="331F5417"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Post Mast.</w:t>
            </w:r>
          </w:p>
        </w:tc>
        <w:tc>
          <w:tcPr>
            <w:tcW w:w="1170" w:type="dxa"/>
            <w:shd w:val="clear" w:color="auto" w:fill="F2F2F2" w:themeFill="background1" w:themeFillShade="F2"/>
          </w:tcPr>
          <w:p w14:paraId="53E9CE18"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Master’s</w:t>
            </w:r>
          </w:p>
        </w:tc>
        <w:tc>
          <w:tcPr>
            <w:tcW w:w="1350" w:type="dxa"/>
            <w:shd w:val="clear" w:color="auto" w:fill="F2F2F2" w:themeFill="background1" w:themeFillShade="F2"/>
          </w:tcPr>
          <w:p w14:paraId="4B946375"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Post Mast.</w:t>
            </w:r>
          </w:p>
        </w:tc>
        <w:tc>
          <w:tcPr>
            <w:tcW w:w="1165" w:type="dxa"/>
          </w:tcPr>
          <w:p w14:paraId="16B85932"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 Target</w:t>
            </w:r>
          </w:p>
        </w:tc>
      </w:tr>
      <w:tr w:rsidR="008E7BD4" w:rsidRPr="008E7BD4" w14:paraId="50E7C5EB" w14:textId="77777777" w:rsidTr="00B81F03">
        <w:trPr>
          <w:trHeight w:val="206"/>
        </w:trPr>
        <w:tc>
          <w:tcPr>
            <w:tcW w:w="1025" w:type="dxa"/>
          </w:tcPr>
          <w:p w14:paraId="4AA3D730"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6.3</w:t>
            </w:r>
          </w:p>
        </w:tc>
        <w:tc>
          <w:tcPr>
            <w:tcW w:w="1040" w:type="dxa"/>
            <w:shd w:val="clear" w:color="auto" w:fill="F2F2F2" w:themeFill="background1" w:themeFillShade="F2"/>
          </w:tcPr>
          <w:p w14:paraId="0A8319EB"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59" w:type="dxa"/>
            <w:shd w:val="clear" w:color="auto" w:fill="F2F2F2" w:themeFill="background1" w:themeFillShade="F2"/>
          </w:tcPr>
          <w:p w14:paraId="6285F8CD"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081" w:type="dxa"/>
          </w:tcPr>
          <w:p w14:paraId="48A6C5A9"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60" w:type="dxa"/>
          </w:tcPr>
          <w:p w14:paraId="40F9C188"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170" w:type="dxa"/>
            <w:shd w:val="clear" w:color="auto" w:fill="F2F2F2" w:themeFill="background1" w:themeFillShade="F2"/>
          </w:tcPr>
          <w:p w14:paraId="48824FC7"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6</w:t>
            </w:r>
          </w:p>
        </w:tc>
        <w:tc>
          <w:tcPr>
            <w:tcW w:w="1350" w:type="dxa"/>
            <w:shd w:val="clear" w:color="auto" w:fill="F2F2F2" w:themeFill="background1" w:themeFillShade="F2"/>
          </w:tcPr>
          <w:p w14:paraId="4A3B692C"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w:t>
            </w:r>
          </w:p>
        </w:tc>
        <w:tc>
          <w:tcPr>
            <w:tcW w:w="1165" w:type="dxa"/>
          </w:tcPr>
          <w:p w14:paraId="643E9BB1"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100</w:t>
            </w:r>
          </w:p>
        </w:tc>
      </w:tr>
      <w:tr w:rsidR="008E7BD4" w:rsidRPr="008E7BD4" w14:paraId="39CB09DB" w14:textId="77777777" w:rsidTr="00B81F03">
        <w:tc>
          <w:tcPr>
            <w:tcW w:w="1025" w:type="dxa"/>
          </w:tcPr>
          <w:p w14:paraId="66A0A26F"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4.3</w:t>
            </w:r>
          </w:p>
        </w:tc>
        <w:tc>
          <w:tcPr>
            <w:tcW w:w="1040" w:type="dxa"/>
            <w:shd w:val="clear" w:color="auto" w:fill="F2F2F2" w:themeFill="background1" w:themeFillShade="F2"/>
          </w:tcPr>
          <w:p w14:paraId="3B8462E7"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59" w:type="dxa"/>
            <w:shd w:val="clear" w:color="auto" w:fill="F2F2F2" w:themeFill="background1" w:themeFillShade="F2"/>
          </w:tcPr>
          <w:p w14:paraId="60D304F1"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081" w:type="dxa"/>
          </w:tcPr>
          <w:p w14:paraId="1A718744"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60" w:type="dxa"/>
          </w:tcPr>
          <w:p w14:paraId="105EFCE5"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170" w:type="dxa"/>
            <w:shd w:val="clear" w:color="auto" w:fill="F2F2F2" w:themeFill="background1" w:themeFillShade="F2"/>
          </w:tcPr>
          <w:p w14:paraId="271891B8"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6</w:t>
            </w:r>
          </w:p>
        </w:tc>
        <w:tc>
          <w:tcPr>
            <w:tcW w:w="1350" w:type="dxa"/>
            <w:shd w:val="clear" w:color="auto" w:fill="F2F2F2" w:themeFill="background1" w:themeFillShade="F2"/>
          </w:tcPr>
          <w:p w14:paraId="749AFFFB"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w:t>
            </w:r>
          </w:p>
        </w:tc>
        <w:tc>
          <w:tcPr>
            <w:tcW w:w="1165" w:type="dxa"/>
          </w:tcPr>
          <w:p w14:paraId="795B2C9A"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100</w:t>
            </w:r>
          </w:p>
        </w:tc>
      </w:tr>
      <w:tr w:rsidR="008E7BD4" w:rsidRPr="008E7BD4" w14:paraId="7850DE5D" w14:textId="77777777" w:rsidTr="00B81F03">
        <w:tc>
          <w:tcPr>
            <w:tcW w:w="1025" w:type="dxa"/>
          </w:tcPr>
          <w:p w14:paraId="3D45DE6A"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4.2</w:t>
            </w:r>
          </w:p>
        </w:tc>
        <w:tc>
          <w:tcPr>
            <w:tcW w:w="1040" w:type="dxa"/>
            <w:shd w:val="clear" w:color="auto" w:fill="F2F2F2" w:themeFill="background1" w:themeFillShade="F2"/>
          </w:tcPr>
          <w:p w14:paraId="3C7269C4"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59" w:type="dxa"/>
            <w:shd w:val="clear" w:color="auto" w:fill="F2F2F2" w:themeFill="background1" w:themeFillShade="F2"/>
          </w:tcPr>
          <w:p w14:paraId="0C505534"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081" w:type="dxa"/>
          </w:tcPr>
          <w:p w14:paraId="00E16CEF"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60" w:type="dxa"/>
          </w:tcPr>
          <w:p w14:paraId="631CB369"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170" w:type="dxa"/>
            <w:shd w:val="clear" w:color="auto" w:fill="F2F2F2" w:themeFill="background1" w:themeFillShade="F2"/>
          </w:tcPr>
          <w:p w14:paraId="5F1BB1E3"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6</w:t>
            </w:r>
          </w:p>
        </w:tc>
        <w:tc>
          <w:tcPr>
            <w:tcW w:w="1350" w:type="dxa"/>
            <w:shd w:val="clear" w:color="auto" w:fill="F2F2F2" w:themeFill="background1" w:themeFillShade="F2"/>
          </w:tcPr>
          <w:p w14:paraId="4484489A"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w:t>
            </w:r>
          </w:p>
        </w:tc>
        <w:tc>
          <w:tcPr>
            <w:tcW w:w="1165" w:type="dxa"/>
          </w:tcPr>
          <w:p w14:paraId="21E20E72"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100</w:t>
            </w:r>
          </w:p>
        </w:tc>
      </w:tr>
      <w:tr w:rsidR="008E7BD4" w:rsidRPr="008E7BD4" w14:paraId="44CB9F99" w14:textId="77777777" w:rsidTr="00B81F03">
        <w:tc>
          <w:tcPr>
            <w:tcW w:w="1025" w:type="dxa"/>
          </w:tcPr>
          <w:p w14:paraId="516F8368"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3.2</w:t>
            </w:r>
          </w:p>
        </w:tc>
        <w:tc>
          <w:tcPr>
            <w:tcW w:w="1040" w:type="dxa"/>
            <w:shd w:val="clear" w:color="auto" w:fill="F2F2F2" w:themeFill="background1" w:themeFillShade="F2"/>
          </w:tcPr>
          <w:p w14:paraId="3E10FCBB"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59" w:type="dxa"/>
            <w:shd w:val="clear" w:color="auto" w:fill="F2F2F2" w:themeFill="background1" w:themeFillShade="F2"/>
          </w:tcPr>
          <w:p w14:paraId="2CBC6482"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081" w:type="dxa"/>
          </w:tcPr>
          <w:p w14:paraId="52688925"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w:t>
            </w:r>
          </w:p>
        </w:tc>
        <w:tc>
          <w:tcPr>
            <w:tcW w:w="1260" w:type="dxa"/>
          </w:tcPr>
          <w:p w14:paraId="0F6239F2"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w:t>
            </w:r>
          </w:p>
        </w:tc>
        <w:tc>
          <w:tcPr>
            <w:tcW w:w="1170" w:type="dxa"/>
            <w:shd w:val="clear" w:color="auto" w:fill="F2F2F2" w:themeFill="background1" w:themeFillShade="F2"/>
          </w:tcPr>
          <w:p w14:paraId="4655A2CD"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5</w:t>
            </w:r>
          </w:p>
        </w:tc>
        <w:tc>
          <w:tcPr>
            <w:tcW w:w="1350" w:type="dxa"/>
            <w:shd w:val="clear" w:color="auto" w:fill="F2F2F2" w:themeFill="background1" w:themeFillShade="F2"/>
          </w:tcPr>
          <w:p w14:paraId="5E535A8D"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165" w:type="dxa"/>
          </w:tcPr>
          <w:p w14:paraId="3EC5C963"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71</w:t>
            </w:r>
          </w:p>
        </w:tc>
      </w:tr>
      <w:tr w:rsidR="008E7BD4" w:rsidRPr="008E7BD4" w14:paraId="5251C297" w14:textId="77777777" w:rsidTr="00B81F03">
        <w:tc>
          <w:tcPr>
            <w:tcW w:w="1025" w:type="dxa"/>
          </w:tcPr>
          <w:p w14:paraId="52B6991B"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4.4</w:t>
            </w:r>
          </w:p>
        </w:tc>
        <w:tc>
          <w:tcPr>
            <w:tcW w:w="1040" w:type="dxa"/>
            <w:shd w:val="clear" w:color="auto" w:fill="F2F2F2" w:themeFill="background1" w:themeFillShade="F2"/>
          </w:tcPr>
          <w:p w14:paraId="421C898F"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59" w:type="dxa"/>
            <w:shd w:val="clear" w:color="auto" w:fill="F2F2F2" w:themeFill="background1" w:themeFillShade="F2"/>
          </w:tcPr>
          <w:p w14:paraId="5BD60A3D"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081" w:type="dxa"/>
          </w:tcPr>
          <w:p w14:paraId="3D53B774"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60" w:type="dxa"/>
          </w:tcPr>
          <w:p w14:paraId="4FB1A931"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170" w:type="dxa"/>
            <w:shd w:val="clear" w:color="auto" w:fill="F2F2F2" w:themeFill="background1" w:themeFillShade="F2"/>
          </w:tcPr>
          <w:p w14:paraId="6DB4A4A6"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6</w:t>
            </w:r>
          </w:p>
        </w:tc>
        <w:tc>
          <w:tcPr>
            <w:tcW w:w="1350" w:type="dxa"/>
            <w:shd w:val="clear" w:color="auto" w:fill="F2F2F2" w:themeFill="background1" w:themeFillShade="F2"/>
          </w:tcPr>
          <w:p w14:paraId="461D6B11"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w:t>
            </w:r>
          </w:p>
        </w:tc>
        <w:tc>
          <w:tcPr>
            <w:tcW w:w="1165" w:type="dxa"/>
          </w:tcPr>
          <w:p w14:paraId="71A14144"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100</w:t>
            </w:r>
          </w:p>
        </w:tc>
      </w:tr>
      <w:tr w:rsidR="008E7BD4" w:rsidRPr="008E7BD4" w14:paraId="09AB1D73" w14:textId="77777777" w:rsidTr="00B81F03">
        <w:tc>
          <w:tcPr>
            <w:tcW w:w="1025" w:type="dxa"/>
          </w:tcPr>
          <w:p w14:paraId="25A3027C"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4.1</w:t>
            </w:r>
          </w:p>
        </w:tc>
        <w:tc>
          <w:tcPr>
            <w:tcW w:w="1040" w:type="dxa"/>
            <w:shd w:val="clear" w:color="auto" w:fill="F2F2F2" w:themeFill="background1" w:themeFillShade="F2"/>
          </w:tcPr>
          <w:p w14:paraId="79A30A89"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59" w:type="dxa"/>
            <w:shd w:val="clear" w:color="auto" w:fill="F2F2F2" w:themeFill="background1" w:themeFillShade="F2"/>
          </w:tcPr>
          <w:p w14:paraId="7ED83283"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081" w:type="dxa"/>
          </w:tcPr>
          <w:p w14:paraId="4716B876"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60" w:type="dxa"/>
          </w:tcPr>
          <w:p w14:paraId="4DAF5DDC"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170" w:type="dxa"/>
            <w:shd w:val="clear" w:color="auto" w:fill="F2F2F2" w:themeFill="background1" w:themeFillShade="F2"/>
          </w:tcPr>
          <w:p w14:paraId="5BB09657"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6</w:t>
            </w:r>
          </w:p>
        </w:tc>
        <w:tc>
          <w:tcPr>
            <w:tcW w:w="1350" w:type="dxa"/>
            <w:shd w:val="clear" w:color="auto" w:fill="F2F2F2" w:themeFill="background1" w:themeFillShade="F2"/>
          </w:tcPr>
          <w:p w14:paraId="20846425"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w:t>
            </w:r>
          </w:p>
        </w:tc>
        <w:tc>
          <w:tcPr>
            <w:tcW w:w="1165" w:type="dxa"/>
          </w:tcPr>
          <w:p w14:paraId="12029F6F"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100</w:t>
            </w:r>
          </w:p>
        </w:tc>
      </w:tr>
    </w:tbl>
    <w:p w14:paraId="04957A21" w14:textId="77777777" w:rsidR="008E7BD4" w:rsidRPr="008E7BD4" w:rsidRDefault="008E7BD4" w:rsidP="008E7BD4">
      <w:pPr>
        <w:jc w:val="both"/>
        <w:rPr>
          <w:rFonts w:cstheme="minorHAnsi"/>
        </w:rPr>
      </w:pPr>
    </w:p>
    <w:p w14:paraId="6A49DC7D" w14:textId="77777777" w:rsidR="008E7BD4" w:rsidRPr="008E7BD4" w:rsidRDefault="008E7BD4" w:rsidP="00225A64">
      <w:pPr>
        <w:jc w:val="both"/>
        <w:rPr>
          <w:rFonts w:cstheme="minorHAnsi"/>
          <w:b/>
          <w:bCs/>
        </w:rPr>
      </w:pPr>
    </w:p>
    <w:p w14:paraId="452B47A3" w14:textId="20596703" w:rsidR="008E7BD4" w:rsidRPr="008E7BD4" w:rsidRDefault="008E7BD4" w:rsidP="008E7BD4">
      <w:pPr>
        <w:rPr>
          <w:rFonts w:cstheme="minorHAnsi"/>
          <w:b/>
          <w:color w:val="000000" w:themeColor="text1"/>
        </w:rPr>
      </w:pPr>
      <w:r w:rsidRPr="008E7BD4">
        <w:rPr>
          <w:rFonts w:cstheme="minorHAnsi"/>
          <w:b/>
          <w:color w:val="000000" w:themeColor="text1"/>
        </w:rPr>
        <w:t>Summer 2019</w:t>
      </w:r>
    </w:p>
    <w:p w14:paraId="28681F51" w14:textId="284A7D65" w:rsidR="008E7BD4" w:rsidRPr="008E7BD4" w:rsidRDefault="008E7BD4" w:rsidP="008E7BD4">
      <w:pPr>
        <w:rPr>
          <w:rFonts w:cstheme="minorHAnsi"/>
          <w:color w:val="000000" w:themeColor="text1"/>
        </w:rPr>
      </w:pPr>
      <w:r w:rsidRPr="008E7BD4">
        <w:rPr>
          <w:rFonts w:cstheme="minorHAnsi"/>
          <w:color w:val="000000" w:themeColor="text1"/>
        </w:rPr>
        <w:t xml:space="preserve">Master’s </w:t>
      </w:r>
      <w:r w:rsidRPr="008E7BD4">
        <w:rPr>
          <w:rFonts w:cstheme="minorHAnsi"/>
          <w:i/>
          <w:iCs/>
          <w:color w:val="000000" w:themeColor="text1"/>
        </w:rPr>
        <w:t>n</w:t>
      </w:r>
      <w:r w:rsidRPr="008E7BD4">
        <w:rPr>
          <w:rFonts w:cstheme="minorHAnsi"/>
          <w:color w:val="000000" w:themeColor="text1"/>
        </w:rPr>
        <w:t xml:space="preserve"> = </w:t>
      </w:r>
      <w:r w:rsidR="00113A40">
        <w:rPr>
          <w:rFonts w:cstheme="minorHAnsi"/>
          <w:color w:val="000000" w:themeColor="text1"/>
        </w:rPr>
        <w:t>7</w:t>
      </w:r>
      <w:r w:rsidRPr="008E7BD4">
        <w:rPr>
          <w:rFonts w:cstheme="minorHAnsi"/>
          <w:color w:val="000000" w:themeColor="text1"/>
        </w:rPr>
        <w:tab/>
        <w:t xml:space="preserve">Post Masters </w:t>
      </w:r>
      <w:r w:rsidRPr="008E7BD4">
        <w:rPr>
          <w:rFonts w:cstheme="minorHAnsi"/>
          <w:i/>
          <w:iCs/>
          <w:color w:val="000000" w:themeColor="text1"/>
        </w:rPr>
        <w:t>n</w:t>
      </w:r>
      <w:r w:rsidRPr="008E7BD4">
        <w:rPr>
          <w:rFonts w:cstheme="minorHAnsi"/>
          <w:color w:val="000000" w:themeColor="text1"/>
        </w:rPr>
        <w:t xml:space="preserve"> = </w:t>
      </w:r>
      <w:r w:rsidR="00113A40">
        <w:rPr>
          <w:rFonts w:cstheme="minorHAnsi"/>
          <w:color w:val="000000" w:themeColor="text1"/>
        </w:rPr>
        <w:t>2</w:t>
      </w:r>
    </w:p>
    <w:tbl>
      <w:tblPr>
        <w:tblStyle w:val="TableGrid"/>
        <w:tblW w:w="0" w:type="auto"/>
        <w:tblLook w:val="04A0" w:firstRow="1" w:lastRow="0" w:firstColumn="1" w:lastColumn="0" w:noHBand="0" w:noVBand="1"/>
        <w:tblDescription w:val="Layout table"/>
      </w:tblPr>
      <w:tblGrid>
        <w:gridCol w:w="1025"/>
        <w:gridCol w:w="1040"/>
        <w:gridCol w:w="1259"/>
        <w:gridCol w:w="1081"/>
        <w:gridCol w:w="1260"/>
        <w:gridCol w:w="1170"/>
        <w:gridCol w:w="1350"/>
        <w:gridCol w:w="1165"/>
      </w:tblGrid>
      <w:tr w:rsidR="008E7BD4" w:rsidRPr="008E7BD4" w14:paraId="4F4706F3" w14:textId="77777777" w:rsidTr="00B81F03">
        <w:tc>
          <w:tcPr>
            <w:tcW w:w="1025" w:type="dxa"/>
          </w:tcPr>
          <w:p w14:paraId="3D863DDE"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p>
        </w:tc>
        <w:tc>
          <w:tcPr>
            <w:tcW w:w="2299" w:type="dxa"/>
            <w:gridSpan w:val="2"/>
            <w:shd w:val="clear" w:color="auto" w:fill="F2F2F2" w:themeFill="background1" w:themeFillShade="F2"/>
          </w:tcPr>
          <w:p w14:paraId="62004683" w14:textId="77777777" w:rsidR="008E7BD4" w:rsidRPr="008E7BD4" w:rsidRDefault="008E7BD4" w:rsidP="00B81F03">
            <w:pPr>
              <w:pStyle w:val="Heading2"/>
              <w:numPr>
                <w:ilvl w:val="0"/>
                <w:numId w:val="0"/>
              </w:numPr>
              <w:spacing w:before="0" w:after="0"/>
              <w:ind w:left="36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Unacceptable (1)</w:t>
            </w:r>
          </w:p>
        </w:tc>
        <w:tc>
          <w:tcPr>
            <w:tcW w:w="2341" w:type="dxa"/>
            <w:gridSpan w:val="2"/>
          </w:tcPr>
          <w:p w14:paraId="3F9DF9C3" w14:textId="77777777" w:rsidR="008E7BD4" w:rsidRPr="008E7BD4" w:rsidRDefault="008E7BD4" w:rsidP="00B81F03">
            <w:pPr>
              <w:pStyle w:val="Heading2"/>
              <w:numPr>
                <w:ilvl w:val="0"/>
                <w:numId w:val="0"/>
              </w:numPr>
              <w:spacing w:before="0" w:after="0"/>
              <w:ind w:left="36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Acceptable (2)</w:t>
            </w:r>
          </w:p>
        </w:tc>
        <w:tc>
          <w:tcPr>
            <w:tcW w:w="2520" w:type="dxa"/>
            <w:gridSpan w:val="2"/>
            <w:shd w:val="clear" w:color="auto" w:fill="F2F2F2" w:themeFill="background1" w:themeFillShade="F2"/>
          </w:tcPr>
          <w:p w14:paraId="2A839671" w14:textId="77777777" w:rsidR="008E7BD4" w:rsidRPr="008E7BD4" w:rsidRDefault="008E7BD4" w:rsidP="00B81F03">
            <w:pPr>
              <w:pStyle w:val="Heading2"/>
              <w:numPr>
                <w:ilvl w:val="0"/>
                <w:numId w:val="0"/>
              </w:numPr>
              <w:spacing w:before="0" w:after="0"/>
              <w:ind w:left="36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Target (3)</w:t>
            </w:r>
          </w:p>
        </w:tc>
        <w:tc>
          <w:tcPr>
            <w:tcW w:w="1165" w:type="dxa"/>
          </w:tcPr>
          <w:p w14:paraId="152F3669" w14:textId="77777777" w:rsidR="008E7BD4" w:rsidRPr="008E7BD4" w:rsidRDefault="008E7BD4" w:rsidP="00B81F03">
            <w:pPr>
              <w:pStyle w:val="Heading2"/>
              <w:numPr>
                <w:ilvl w:val="0"/>
                <w:numId w:val="0"/>
              </w:numPr>
              <w:spacing w:before="0" w:after="0"/>
              <w:ind w:left="360"/>
              <w:jc w:val="center"/>
              <w:outlineLvl w:val="1"/>
              <w:rPr>
                <w:rFonts w:cstheme="minorHAnsi"/>
                <w:b w:val="0"/>
                <w:bCs w:val="0"/>
                <w:color w:val="000000" w:themeColor="text1"/>
                <w:sz w:val="22"/>
                <w:szCs w:val="22"/>
              </w:rPr>
            </w:pPr>
          </w:p>
        </w:tc>
      </w:tr>
      <w:tr w:rsidR="008E7BD4" w:rsidRPr="008E7BD4" w14:paraId="1F986747" w14:textId="77777777" w:rsidTr="00B81F03">
        <w:tc>
          <w:tcPr>
            <w:tcW w:w="1025" w:type="dxa"/>
          </w:tcPr>
          <w:p w14:paraId="72E289F1"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Standard</w:t>
            </w:r>
          </w:p>
        </w:tc>
        <w:tc>
          <w:tcPr>
            <w:tcW w:w="1040" w:type="dxa"/>
            <w:shd w:val="clear" w:color="auto" w:fill="F2F2F2" w:themeFill="background1" w:themeFillShade="F2"/>
          </w:tcPr>
          <w:p w14:paraId="77D2D171"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Master’s</w:t>
            </w:r>
          </w:p>
        </w:tc>
        <w:tc>
          <w:tcPr>
            <w:tcW w:w="1259" w:type="dxa"/>
            <w:shd w:val="clear" w:color="auto" w:fill="F2F2F2" w:themeFill="background1" w:themeFillShade="F2"/>
          </w:tcPr>
          <w:p w14:paraId="6DB9D5A8"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Post Mast.</w:t>
            </w:r>
          </w:p>
        </w:tc>
        <w:tc>
          <w:tcPr>
            <w:tcW w:w="1081" w:type="dxa"/>
          </w:tcPr>
          <w:p w14:paraId="0D4686BF"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Master’s</w:t>
            </w:r>
          </w:p>
        </w:tc>
        <w:tc>
          <w:tcPr>
            <w:tcW w:w="1260" w:type="dxa"/>
          </w:tcPr>
          <w:p w14:paraId="65ABF279"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Post Mast.</w:t>
            </w:r>
          </w:p>
        </w:tc>
        <w:tc>
          <w:tcPr>
            <w:tcW w:w="1170" w:type="dxa"/>
            <w:shd w:val="clear" w:color="auto" w:fill="F2F2F2" w:themeFill="background1" w:themeFillShade="F2"/>
          </w:tcPr>
          <w:p w14:paraId="108208CA"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Master’s</w:t>
            </w:r>
          </w:p>
        </w:tc>
        <w:tc>
          <w:tcPr>
            <w:tcW w:w="1350" w:type="dxa"/>
            <w:shd w:val="clear" w:color="auto" w:fill="F2F2F2" w:themeFill="background1" w:themeFillShade="F2"/>
          </w:tcPr>
          <w:p w14:paraId="6797F862"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Post Mast.</w:t>
            </w:r>
          </w:p>
        </w:tc>
        <w:tc>
          <w:tcPr>
            <w:tcW w:w="1165" w:type="dxa"/>
          </w:tcPr>
          <w:p w14:paraId="4C20C0FC"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 Target</w:t>
            </w:r>
          </w:p>
        </w:tc>
      </w:tr>
      <w:tr w:rsidR="008E7BD4" w:rsidRPr="008E7BD4" w14:paraId="17166E89" w14:textId="77777777" w:rsidTr="00B81F03">
        <w:trPr>
          <w:trHeight w:val="206"/>
        </w:trPr>
        <w:tc>
          <w:tcPr>
            <w:tcW w:w="1025" w:type="dxa"/>
          </w:tcPr>
          <w:p w14:paraId="34BEDF91"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6.3</w:t>
            </w:r>
          </w:p>
        </w:tc>
        <w:tc>
          <w:tcPr>
            <w:tcW w:w="1040" w:type="dxa"/>
            <w:shd w:val="clear" w:color="auto" w:fill="F2F2F2" w:themeFill="background1" w:themeFillShade="F2"/>
          </w:tcPr>
          <w:p w14:paraId="1993902D" w14:textId="40ABDFC9"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1</w:t>
            </w:r>
          </w:p>
        </w:tc>
        <w:tc>
          <w:tcPr>
            <w:tcW w:w="1259" w:type="dxa"/>
            <w:shd w:val="clear" w:color="auto" w:fill="F2F2F2" w:themeFill="background1" w:themeFillShade="F2"/>
          </w:tcPr>
          <w:p w14:paraId="4D0EC14C"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081" w:type="dxa"/>
          </w:tcPr>
          <w:p w14:paraId="4A1A6E3B" w14:textId="643ACF18"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3</w:t>
            </w:r>
          </w:p>
        </w:tc>
        <w:tc>
          <w:tcPr>
            <w:tcW w:w="1260" w:type="dxa"/>
          </w:tcPr>
          <w:p w14:paraId="73039D4E"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170" w:type="dxa"/>
            <w:shd w:val="clear" w:color="auto" w:fill="F2F2F2" w:themeFill="background1" w:themeFillShade="F2"/>
          </w:tcPr>
          <w:p w14:paraId="6CB6AB4D" w14:textId="72EF839D"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3</w:t>
            </w:r>
          </w:p>
        </w:tc>
        <w:tc>
          <w:tcPr>
            <w:tcW w:w="1350" w:type="dxa"/>
            <w:shd w:val="clear" w:color="auto" w:fill="F2F2F2" w:themeFill="background1" w:themeFillShade="F2"/>
          </w:tcPr>
          <w:p w14:paraId="36D68D74" w14:textId="7BE3ED54"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2</w:t>
            </w:r>
          </w:p>
        </w:tc>
        <w:tc>
          <w:tcPr>
            <w:tcW w:w="1165" w:type="dxa"/>
          </w:tcPr>
          <w:p w14:paraId="5FFD64F2" w14:textId="6A542E84"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56</w:t>
            </w:r>
          </w:p>
        </w:tc>
      </w:tr>
      <w:tr w:rsidR="008E7BD4" w:rsidRPr="008E7BD4" w14:paraId="6EBE1F78" w14:textId="77777777" w:rsidTr="00B81F03">
        <w:tc>
          <w:tcPr>
            <w:tcW w:w="1025" w:type="dxa"/>
          </w:tcPr>
          <w:p w14:paraId="529B3058"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4.3</w:t>
            </w:r>
          </w:p>
        </w:tc>
        <w:tc>
          <w:tcPr>
            <w:tcW w:w="1040" w:type="dxa"/>
            <w:shd w:val="clear" w:color="auto" w:fill="F2F2F2" w:themeFill="background1" w:themeFillShade="F2"/>
          </w:tcPr>
          <w:p w14:paraId="269A911D"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59" w:type="dxa"/>
            <w:shd w:val="clear" w:color="auto" w:fill="F2F2F2" w:themeFill="background1" w:themeFillShade="F2"/>
          </w:tcPr>
          <w:p w14:paraId="12BDC3A7" w14:textId="201E86BA"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1</w:t>
            </w:r>
          </w:p>
        </w:tc>
        <w:tc>
          <w:tcPr>
            <w:tcW w:w="1081" w:type="dxa"/>
          </w:tcPr>
          <w:p w14:paraId="1507A766" w14:textId="5802E92A"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2</w:t>
            </w:r>
          </w:p>
        </w:tc>
        <w:tc>
          <w:tcPr>
            <w:tcW w:w="1260" w:type="dxa"/>
          </w:tcPr>
          <w:p w14:paraId="61ADC3B4"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170" w:type="dxa"/>
            <w:shd w:val="clear" w:color="auto" w:fill="F2F2F2" w:themeFill="background1" w:themeFillShade="F2"/>
          </w:tcPr>
          <w:p w14:paraId="6239AD73" w14:textId="60102FE8"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5</w:t>
            </w:r>
          </w:p>
        </w:tc>
        <w:tc>
          <w:tcPr>
            <w:tcW w:w="1350" w:type="dxa"/>
            <w:shd w:val="clear" w:color="auto" w:fill="F2F2F2" w:themeFill="background1" w:themeFillShade="F2"/>
          </w:tcPr>
          <w:p w14:paraId="59C0058B"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w:t>
            </w:r>
          </w:p>
        </w:tc>
        <w:tc>
          <w:tcPr>
            <w:tcW w:w="1165" w:type="dxa"/>
          </w:tcPr>
          <w:p w14:paraId="36A18D7F" w14:textId="44D117B3" w:rsidR="008E7BD4" w:rsidRPr="008E7BD4" w:rsidRDefault="00113A40" w:rsidP="00113A40">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67</w:t>
            </w:r>
          </w:p>
        </w:tc>
      </w:tr>
      <w:tr w:rsidR="008E7BD4" w:rsidRPr="008E7BD4" w14:paraId="3DA3BCEE" w14:textId="77777777" w:rsidTr="00B81F03">
        <w:tc>
          <w:tcPr>
            <w:tcW w:w="1025" w:type="dxa"/>
          </w:tcPr>
          <w:p w14:paraId="0ECA32BC"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4.2</w:t>
            </w:r>
          </w:p>
        </w:tc>
        <w:tc>
          <w:tcPr>
            <w:tcW w:w="1040" w:type="dxa"/>
            <w:shd w:val="clear" w:color="auto" w:fill="F2F2F2" w:themeFill="background1" w:themeFillShade="F2"/>
          </w:tcPr>
          <w:p w14:paraId="7E091EC0"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59" w:type="dxa"/>
            <w:shd w:val="clear" w:color="auto" w:fill="F2F2F2" w:themeFill="background1" w:themeFillShade="F2"/>
          </w:tcPr>
          <w:p w14:paraId="3EED9E64"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081" w:type="dxa"/>
          </w:tcPr>
          <w:p w14:paraId="3CE238DF" w14:textId="07252688"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2</w:t>
            </w:r>
          </w:p>
        </w:tc>
        <w:tc>
          <w:tcPr>
            <w:tcW w:w="1260" w:type="dxa"/>
          </w:tcPr>
          <w:p w14:paraId="4DAC94FC" w14:textId="3B212869"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1</w:t>
            </w:r>
          </w:p>
        </w:tc>
        <w:tc>
          <w:tcPr>
            <w:tcW w:w="1170" w:type="dxa"/>
            <w:shd w:val="clear" w:color="auto" w:fill="F2F2F2" w:themeFill="background1" w:themeFillShade="F2"/>
          </w:tcPr>
          <w:p w14:paraId="70DC5672" w14:textId="00D1B18E"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5</w:t>
            </w:r>
          </w:p>
        </w:tc>
        <w:tc>
          <w:tcPr>
            <w:tcW w:w="1350" w:type="dxa"/>
            <w:shd w:val="clear" w:color="auto" w:fill="F2F2F2" w:themeFill="background1" w:themeFillShade="F2"/>
          </w:tcPr>
          <w:p w14:paraId="4FED3785"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w:t>
            </w:r>
          </w:p>
        </w:tc>
        <w:tc>
          <w:tcPr>
            <w:tcW w:w="1165" w:type="dxa"/>
          </w:tcPr>
          <w:p w14:paraId="5A77B691" w14:textId="6A2ECDDD"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67</w:t>
            </w:r>
          </w:p>
        </w:tc>
      </w:tr>
      <w:tr w:rsidR="008E7BD4" w:rsidRPr="008E7BD4" w14:paraId="6411C514" w14:textId="77777777" w:rsidTr="00B81F03">
        <w:tc>
          <w:tcPr>
            <w:tcW w:w="1025" w:type="dxa"/>
          </w:tcPr>
          <w:p w14:paraId="4D93D1A6"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3.2</w:t>
            </w:r>
          </w:p>
        </w:tc>
        <w:tc>
          <w:tcPr>
            <w:tcW w:w="1040" w:type="dxa"/>
            <w:shd w:val="clear" w:color="auto" w:fill="F2F2F2" w:themeFill="background1" w:themeFillShade="F2"/>
          </w:tcPr>
          <w:p w14:paraId="3ADEA951"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59" w:type="dxa"/>
            <w:shd w:val="clear" w:color="auto" w:fill="F2F2F2" w:themeFill="background1" w:themeFillShade="F2"/>
          </w:tcPr>
          <w:p w14:paraId="0B12645E"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081" w:type="dxa"/>
          </w:tcPr>
          <w:p w14:paraId="5BA118C1" w14:textId="3FD5D732"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2</w:t>
            </w:r>
          </w:p>
        </w:tc>
        <w:tc>
          <w:tcPr>
            <w:tcW w:w="1260" w:type="dxa"/>
          </w:tcPr>
          <w:p w14:paraId="4E3F7D34"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w:t>
            </w:r>
          </w:p>
        </w:tc>
        <w:tc>
          <w:tcPr>
            <w:tcW w:w="1170" w:type="dxa"/>
            <w:shd w:val="clear" w:color="auto" w:fill="F2F2F2" w:themeFill="background1" w:themeFillShade="F2"/>
          </w:tcPr>
          <w:p w14:paraId="74B30C9A"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5</w:t>
            </w:r>
          </w:p>
        </w:tc>
        <w:tc>
          <w:tcPr>
            <w:tcW w:w="1350" w:type="dxa"/>
            <w:shd w:val="clear" w:color="auto" w:fill="F2F2F2" w:themeFill="background1" w:themeFillShade="F2"/>
          </w:tcPr>
          <w:p w14:paraId="13F7728C" w14:textId="6F7FFE08"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2</w:t>
            </w:r>
          </w:p>
        </w:tc>
        <w:tc>
          <w:tcPr>
            <w:tcW w:w="1165" w:type="dxa"/>
          </w:tcPr>
          <w:p w14:paraId="16F22F6A" w14:textId="2F056F45" w:rsidR="008E7BD4" w:rsidRPr="008E7BD4" w:rsidRDefault="00113A40" w:rsidP="00113A40">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78</w:t>
            </w:r>
          </w:p>
        </w:tc>
      </w:tr>
      <w:tr w:rsidR="008E7BD4" w:rsidRPr="008E7BD4" w14:paraId="66CA6F28" w14:textId="77777777" w:rsidTr="00B81F03">
        <w:tc>
          <w:tcPr>
            <w:tcW w:w="1025" w:type="dxa"/>
          </w:tcPr>
          <w:p w14:paraId="18C28CB9"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4.4</w:t>
            </w:r>
          </w:p>
        </w:tc>
        <w:tc>
          <w:tcPr>
            <w:tcW w:w="1040" w:type="dxa"/>
            <w:shd w:val="clear" w:color="auto" w:fill="F2F2F2" w:themeFill="background1" w:themeFillShade="F2"/>
          </w:tcPr>
          <w:p w14:paraId="7A9D63BB"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59" w:type="dxa"/>
            <w:shd w:val="clear" w:color="auto" w:fill="F2F2F2" w:themeFill="background1" w:themeFillShade="F2"/>
          </w:tcPr>
          <w:p w14:paraId="0307E490"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081" w:type="dxa"/>
          </w:tcPr>
          <w:p w14:paraId="60D823E1" w14:textId="5DB763D2"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1</w:t>
            </w:r>
          </w:p>
        </w:tc>
        <w:tc>
          <w:tcPr>
            <w:tcW w:w="1260" w:type="dxa"/>
          </w:tcPr>
          <w:p w14:paraId="5EE55817" w14:textId="1371B6A6"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1</w:t>
            </w:r>
          </w:p>
        </w:tc>
        <w:tc>
          <w:tcPr>
            <w:tcW w:w="1170" w:type="dxa"/>
            <w:shd w:val="clear" w:color="auto" w:fill="F2F2F2" w:themeFill="background1" w:themeFillShade="F2"/>
          </w:tcPr>
          <w:p w14:paraId="1F7143AC"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6</w:t>
            </w:r>
          </w:p>
        </w:tc>
        <w:tc>
          <w:tcPr>
            <w:tcW w:w="1350" w:type="dxa"/>
            <w:shd w:val="clear" w:color="auto" w:fill="F2F2F2" w:themeFill="background1" w:themeFillShade="F2"/>
          </w:tcPr>
          <w:p w14:paraId="573DE4BD"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1</w:t>
            </w:r>
          </w:p>
        </w:tc>
        <w:tc>
          <w:tcPr>
            <w:tcW w:w="1165" w:type="dxa"/>
          </w:tcPr>
          <w:p w14:paraId="7C7D1CE5" w14:textId="2049EB9B"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78</w:t>
            </w:r>
          </w:p>
        </w:tc>
      </w:tr>
      <w:tr w:rsidR="008E7BD4" w:rsidRPr="008E7BD4" w14:paraId="040FFAAB" w14:textId="77777777" w:rsidTr="00B81F03">
        <w:tc>
          <w:tcPr>
            <w:tcW w:w="1025" w:type="dxa"/>
          </w:tcPr>
          <w:p w14:paraId="7F173602" w14:textId="77777777" w:rsidR="008E7BD4" w:rsidRPr="008E7BD4" w:rsidRDefault="008E7BD4" w:rsidP="00B81F03">
            <w:pPr>
              <w:pStyle w:val="Heading2"/>
              <w:numPr>
                <w:ilvl w:val="0"/>
                <w:numId w:val="0"/>
              </w:numPr>
              <w:spacing w:before="0" w:after="0"/>
              <w:outlineLvl w:val="1"/>
              <w:rPr>
                <w:rFonts w:cstheme="minorHAnsi"/>
                <w:b w:val="0"/>
                <w:bCs w:val="0"/>
                <w:color w:val="000000" w:themeColor="text1"/>
                <w:sz w:val="22"/>
                <w:szCs w:val="22"/>
              </w:rPr>
            </w:pPr>
            <w:r w:rsidRPr="008E7BD4">
              <w:rPr>
                <w:rFonts w:cstheme="minorHAnsi"/>
                <w:b w:val="0"/>
                <w:bCs w:val="0"/>
                <w:color w:val="000000" w:themeColor="text1"/>
                <w:sz w:val="22"/>
                <w:szCs w:val="22"/>
              </w:rPr>
              <w:t>4.1</w:t>
            </w:r>
          </w:p>
        </w:tc>
        <w:tc>
          <w:tcPr>
            <w:tcW w:w="1040" w:type="dxa"/>
            <w:shd w:val="clear" w:color="auto" w:fill="F2F2F2" w:themeFill="background1" w:themeFillShade="F2"/>
          </w:tcPr>
          <w:p w14:paraId="387FDAD2"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259" w:type="dxa"/>
            <w:shd w:val="clear" w:color="auto" w:fill="F2F2F2" w:themeFill="background1" w:themeFillShade="F2"/>
          </w:tcPr>
          <w:p w14:paraId="1BFA79F1"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0</w:t>
            </w:r>
          </w:p>
        </w:tc>
        <w:tc>
          <w:tcPr>
            <w:tcW w:w="1081" w:type="dxa"/>
          </w:tcPr>
          <w:p w14:paraId="7324C93F" w14:textId="6434AB1E"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1</w:t>
            </w:r>
          </w:p>
        </w:tc>
        <w:tc>
          <w:tcPr>
            <w:tcW w:w="1260" w:type="dxa"/>
          </w:tcPr>
          <w:p w14:paraId="654966A7" w14:textId="22FD8247"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2</w:t>
            </w:r>
          </w:p>
        </w:tc>
        <w:tc>
          <w:tcPr>
            <w:tcW w:w="1170" w:type="dxa"/>
            <w:shd w:val="clear" w:color="auto" w:fill="F2F2F2" w:themeFill="background1" w:themeFillShade="F2"/>
          </w:tcPr>
          <w:p w14:paraId="4BF3FCBE" w14:textId="77777777" w:rsidR="008E7BD4" w:rsidRPr="008E7BD4" w:rsidRDefault="008E7BD4" w:rsidP="00B81F03">
            <w:pPr>
              <w:pStyle w:val="Heading2"/>
              <w:numPr>
                <w:ilvl w:val="0"/>
                <w:numId w:val="0"/>
              </w:numPr>
              <w:spacing w:before="0" w:after="0"/>
              <w:jc w:val="center"/>
              <w:outlineLvl w:val="1"/>
              <w:rPr>
                <w:rFonts w:cstheme="minorHAnsi"/>
                <w:b w:val="0"/>
                <w:bCs w:val="0"/>
                <w:color w:val="000000" w:themeColor="text1"/>
                <w:sz w:val="22"/>
                <w:szCs w:val="22"/>
              </w:rPr>
            </w:pPr>
            <w:r w:rsidRPr="008E7BD4">
              <w:rPr>
                <w:rFonts w:cstheme="minorHAnsi"/>
                <w:b w:val="0"/>
                <w:bCs w:val="0"/>
                <w:color w:val="000000" w:themeColor="text1"/>
                <w:sz w:val="22"/>
                <w:szCs w:val="22"/>
              </w:rPr>
              <w:t>6</w:t>
            </w:r>
          </w:p>
        </w:tc>
        <w:tc>
          <w:tcPr>
            <w:tcW w:w="1350" w:type="dxa"/>
            <w:shd w:val="clear" w:color="auto" w:fill="F2F2F2" w:themeFill="background1" w:themeFillShade="F2"/>
          </w:tcPr>
          <w:p w14:paraId="6A33EA53" w14:textId="0D2978C1"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0</w:t>
            </w:r>
          </w:p>
        </w:tc>
        <w:tc>
          <w:tcPr>
            <w:tcW w:w="1165" w:type="dxa"/>
          </w:tcPr>
          <w:p w14:paraId="64B1622B" w14:textId="1083AEF3" w:rsidR="008E7BD4" w:rsidRPr="008E7BD4" w:rsidRDefault="00113A40" w:rsidP="00B81F03">
            <w:pPr>
              <w:pStyle w:val="Heading2"/>
              <w:numPr>
                <w:ilvl w:val="0"/>
                <w:numId w:val="0"/>
              </w:numPr>
              <w:spacing w:before="0" w:after="0"/>
              <w:jc w:val="center"/>
              <w:outlineLvl w:val="1"/>
              <w:rPr>
                <w:rFonts w:cstheme="minorHAnsi"/>
                <w:b w:val="0"/>
                <w:bCs w:val="0"/>
                <w:color w:val="000000" w:themeColor="text1"/>
                <w:sz w:val="22"/>
                <w:szCs w:val="22"/>
              </w:rPr>
            </w:pPr>
            <w:r>
              <w:rPr>
                <w:rFonts w:cstheme="minorHAnsi"/>
                <w:b w:val="0"/>
                <w:bCs w:val="0"/>
                <w:color w:val="000000" w:themeColor="text1"/>
                <w:sz w:val="22"/>
                <w:szCs w:val="22"/>
              </w:rPr>
              <w:t>67</w:t>
            </w:r>
          </w:p>
        </w:tc>
      </w:tr>
    </w:tbl>
    <w:p w14:paraId="41F3EC86" w14:textId="6A13F2CE" w:rsidR="00701345" w:rsidRPr="009D3B92" w:rsidRDefault="00701345" w:rsidP="009D3B92">
      <w:pPr>
        <w:rPr>
          <w:rFonts w:cstheme="minorHAnsi"/>
          <w:b/>
          <w:color w:val="000000" w:themeColor="text1"/>
        </w:rPr>
      </w:pPr>
    </w:p>
    <w:sectPr w:rsidR="00701345" w:rsidRPr="009D3B92" w:rsidSect="0091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85730"/>
    <w:multiLevelType w:val="hybridMultilevel"/>
    <w:tmpl w:val="8BE41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830EA"/>
    <w:multiLevelType w:val="hybridMultilevel"/>
    <w:tmpl w:val="781C2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F1058"/>
    <w:multiLevelType w:val="hybridMultilevel"/>
    <w:tmpl w:val="4CD8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20818"/>
    <w:multiLevelType w:val="hybridMultilevel"/>
    <w:tmpl w:val="4E4C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95636"/>
    <w:multiLevelType w:val="hybridMultilevel"/>
    <w:tmpl w:val="148494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553129"/>
    <w:multiLevelType w:val="hybridMultilevel"/>
    <w:tmpl w:val="C3C26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64"/>
    <w:rsid w:val="000948FB"/>
    <w:rsid w:val="000E5709"/>
    <w:rsid w:val="001021F8"/>
    <w:rsid w:val="00113A40"/>
    <w:rsid w:val="00170FB3"/>
    <w:rsid w:val="001C371D"/>
    <w:rsid w:val="001D7CC1"/>
    <w:rsid w:val="001E6C68"/>
    <w:rsid w:val="00225A64"/>
    <w:rsid w:val="002866C7"/>
    <w:rsid w:val="002A11AD"/>
    <w:rsid w:val="002B7C02"/>
    <w:rsid w:val="002E6D53"/>
    <w:rsid w:val="002F3B23"/>
    <w:rsid w:val="003562A6"/>
    <w:rsid w:val="003E133F"/>
    <w:rsid w:val="003F12B4"/>
    <w:rsid w:val="00420776"/>
    <w:rsid w:val="00456412"/>
    <w:rsid w:val="004F393B"/>
    <w:rsid w:val="00563CA7"/>
    <w:rsid w:val="005C4D08"/>
    <w:rsid w:val="006045FA"/>
    <w:rsid w:val="006C5288"/>
    <w:rsid w:val="006F6AFF"/>
    <w:rsid w:val="00701345"/>
    <w:rsid w:val="00716CD3"/>
    <w:rsid w:val="007960E4"/>
    <w:rsid w:val="008E7BD4"/>
    <w:rsid w:val="0091221E"/>
    <w:rsid w:val="00956405"/>
    <w:rsid w:val="00973C7B"/>
    <w:rsid w:val="009D3B92"/>
    <w:rsid w:val="00A056C3"/>
    <w:rsid w:val="00A95D27"/>
    <w:rsid w:val="00B95A88"/>
    <w:rsid w:val="00BA6CB6"/>
    <w:rsid w:val="00BD302F"/>
    <w:rsid w:val="00C11A11"/>
    <w:rsid w:val="00C267A7"/>
    <w:rsid w:val="00C37C8E"/>
    <w:rsid w:val="00C56C40"/>
    <w:rsid w:val="00CB4144"/>
    <w:rsid w:val="00CB77BC"/>
    <w:rsid w:val="00DB759B"/>
    <w:rsid w:val="00DE6E0B"/>
    <w:rsid w:val="00E61626"/>
    <w:rsid w:val="00EB0BB9"/>
    <w:rsid w:val="00ED17AC"/>
    <w:rsid w:val="00F85E22"/>
    <w:rsid w:val="00FA3B74"/>
    <w:rsid w:val="00FB31C9"/>
    <w:rsid w:val="00FB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92806"/>
  <w15:chartTrackingRefBased/>
  <w15:docId w15:val="{4E870C2B-F7E4-4243-8D84-7F2981ED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E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E0B"/>
    <w:pPr>
      <w:keepNext/>
      <w:keepLines/>
      <w:numPr>
        <w:numId w:val="3"/>
      </w:numPr>
      <w:spacing w:before="360" w:after="120"/>
      <w:outlineLvl w:val="1"/>
    </w:pPr>
    <w:rPr>
      <w:b/>
      <w:bCs/>
      <w:color w:val="2F5496" w:themeColor="accent1" w:themeShade="BF"/>
      <w:szCs w:val="18"/>
      <w:lang w:eastAsia="ja-JP"/>
    </w:rPr>
  </w:style>
  <w:style w:type="paragraph" w:styleId="Heading3">
    <w:name w:val="heading 3"/>
    <w:basedOn w:val="Normal"/>
    <w:next w:val="Normal"/>
    <w:link w:val="Heading3Char"/>
    <w:uiPriority w:val="9"/>
    <w:semiHidden/>
    <w:unhideWhenUsed/>
    <w:qFormat/>
    <w:rsid w:val="00DE6E0B"/>
    <w:pPr>
      <w:keepNext/>
      <w:keepLines/>
      <w:spacing w:before="40" w:line="288" w:lineRule="auto"/>
      <w:outlineLvl w:val="2"/>
    </w:pPr>
    <w:rPr>
      <w:rFonts w:asciiTheme="majorHAnsi" w:eastAsiaTheme="majorEastAsia" w:hAnsiTheme="majorHAnsi" w:cstheme="majorBidi"/>
      <w:color w:val="1F3763" w:themeColor="accent1" w:themeShade="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0B"/>
    <w:pPr>
      <w:ind w:left="720"/>
      <w:contextualSpacing/>
    </w:pPr>
  </w:style>
  <w:style w:type="character" w:customStyle="1" w:styleId="Heading2Char">
    <w:name w:val="Heading 2 Char"/>
    <w:basedOn w:val="DefaultParagraphFont"/>
    <w:link w:val="Heading2"/>
    <w:uiPriority w:val="9"/>
    <w:rsid w:val="00DE6E0B"/>
    <w:rPr>
      <w:b/>
      <w:bCs/>
      <w:color w:val="2F5496" w:themeColor="accent1" w:themeShade="BF"/>
      <w:szCs w:val="18"/>
      <w:lang w:eastAsia="ja-JP"/>
    </w:rPr>
  </w:style>
  <w:style w:type="table" w:styleId="TableGrid">
    <w:name w:val="Table Grid"/>
    <w:basedOn w:val="TableNormal"/>
    <w:uiPriority w:val="39"/>
    <w:rsid w:val="00DE6E0B"/>
    <w:rPr>
      <w:color w:val="404040" w:themeColor="text1" w:themeTint="BF"/>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6E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E0B"/>
    <w:rPr>
      <w:rFonts w:asciiTheme="majorHAnsi" w:eastAsiaTheme="majorEastAsia" w:hAnsiTheme="majorHAnsi" w:cstheme="majorBidi"/>
      <w:color w:val="1F3763" w:themeColor="accent1" w:themeShade="7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Mayger</dc:creator>
  <cp:keywords/>
  <dc:description/>
  <cp:lastModifiedBy>Linda Mayger</cp:lastModifiedBy>
  <cp:revision>23</cp:revision>
  <dcterms:created xsi:type="dcterms:W3CDTF">2019-07-28T18:55:00Z</dcterms:created>
  <dcterms:modified xsi:type="dcterms:W3CDTF">2020-02-08T18:19:00Z</dcterms:modified>
</cp:coreProperties>
</file>