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DECD" w14:textId="77777777" w:rsidR="00F00BAA" w:rsidRPr="00FB062E" w:rsidRDefault="00F00BAA" w:rsidP="00F00BAA">
      <w:pPr>
        <w:jc w:val="center"/>
        <w:rPr>
          <w:rFonts w:ascii="Calibri" w:hAnsi="Calibri" w:cs="Calibri"/>
          <w:b/>
          <w:bCs/>
        </w:rPr>
      </w:pPr>
      <w:r w:rsidRPr="00FB062E">
        <w:rPr>
          <w:rFonts w:ascii="Calibri" w:hAnsi="Calibri" w:cs="Calibri"/>
          <w:b/>
          <w:bCs/>
        </w:rPr>
        <w:t>Assessment #1: School Leaders Licensure Assessment</w:t>
      </w:r>
    </w:p>
    <w:p w14:paraId="0080497F" w14:textId="54903021" w:rsidR="00225A64" w:rsidRPr="00FB062E" w:rsidRDefault="00225A64" w:rsidP="00F00BAA"/>
    <w:p w14:paraId="68378C87" w14:textId="64A6CDF8" w:rsidR="000E1E92" w:rsidRPr="00FB062E" w:rsidRDefault="000E1E92" w:rsidP="00F00BAA">
      <w:pPr>
        <w:jc w:val="both"/>
        <w:rPr>
          <w:b/>
          <w:bCs/>
          <w:u w:val="single"/>
        </w:rPr>
      </w:pPr>
      <w:r w:rsidRPr="00FB062E">
        <w:rPr>
          <w:b/>
          <w:bCs/>
          <w:u w:val="single"/>
        </w:rPr>
        <w:t>Part 1</w:t>
      </w:r>
    </w:p>
    <w:p w14:paraId="0C8EC5E2" w14:textId="64E2B49B" w:rsidR="00225A64" w:rsidRPr="00FB062E" w:rsidRDefault="00225A64" w:rsidP="00F00BAA">
      <w:pPr>
        <w:jc w:val="both"/>
      </w:pPr>
      <w:r w:rsidRPr="00FB062E">
        <w:rPr>
          <w:b/>
          <w:bCs/>
        </w:rPr>
        <w:t>a. Assessment</w:t>
      </w:r>
      <w:r w:rsidR="000E1E92" w:rsidRPr="00FB062E">
        <w:rPr>
          <w:b/>
          <w:bCs/>
        </w:rPr>
        <w:t xml:space="preserve"> description</w:t>
      </w:r>
    </w:p>
    <w:p w14:paraId="390BC528" w14:textId="77777777" w:rsidR="00FB062E" w:rsidRDefault="00F00BAA" w:rsidP="00F00BAA">
      <w:pPr>
        <w:pStyle w:val="BodyTextIndent3"/>
        <w:spacing w:line="240" w:lineRule="auto"/>
        <w:ind w:left="0"/>
        <w:rPr>
          <w:rFonts w:ascii="Calibri" w:hAnsi="Calibri" w:cs="Calibri"/>
          <w:color w:val="000000" w:themeColor="text1"/>
          <w:sz w:val="24"/>
          <w:szCs w:val="24"/>
        </w:rPr>
      </w:pPr>
      <w:r w:rsidRPr="00FB062E">
        <w:rPr>
          <w:rFonts w:ascii="Calibri" w:hAnsi="Calibri" w:cs="Calibri"/>
          <w:color w:val="000000" w:themeColor="text1"/>
          <w:sz w:val="24"/>
          <w:szCs w:val="24"/>
        </w:rPr>
        <w:t xml:space="preserve">The state of NJ requires candidates to pass the School Leaders Licensure Assessment (SLLA) for certification. As reported in </w:t>
      </w:r>
      <w:r w:rsidRPr="00FB062E">
        <w:rPr>
          <w:rFonts w:ascii="Calibri" w:hAnsi="Calibri" w:cs="Calibri"/>
          <w:i/>
          <w:color w:val="000000" w:themeColor="text1"/>
          <w:sz w:val="24"/>
          <w:szCs w:val="24"/>
        </w:rPr>
        <w:t>School Leaders Licensure Assessment</w:t>
      </w:r>
      <w:r w:rsidRPr="00FB062E">
        <w:rPr>
          <w:rFonts w:ascii="Calibri" w:hAnsi="Calibri" w:cs="Calibri"/>
          <w:color w:val="000000" w:themeColor="text1"/>
          <w:sz w:val="24"/>
          <w:szCs w:val="24"/>
        </w:rPr>
        <w:t>, Educational Testing Services (ETS)</w:t>
      </w:r>
      <w:r w:rsidR="00FB062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B062E">
        <w:rPr>
          <w:rFonts w:ascii="Calibri" w:hAnsi="Calibri" w:cs="Calibri"/>
          <w:color w:val="000000" w:themeColor="text1"/>
          <w:sz w:val="24"/>
          <w:szCs w:val="24"/>
        </w:rPr>
        <w:t xml:space="preserve">developed the SLLA to provide a thorough, fair and carefully validated assessment “designed to measure the extent to which entry-level school leaders demonstrate the standards-relevant knowledge and skills necessary for competent professional practice” (p. 5).  </w:t>
      </w:r>
      <w:r w:rsidR="00FB062E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Pr="00FB062E">
        <w:rPr>
          <w:rFonts w:ascii="Calibri" w:hAnsi="Calibri" w:cs="Calibri"/>
          <w:color w:val="000000" w:themeColor="text1"/>
          <w:sz w:val="24"/>
          <w:szCs w:val="24"/>
        </w:rPr>
        <w:t xml:space="preserve"> SLLA was </w:t>
      </w:r>
      <w:r w:rsidR="00FB062E">
        <w:rPr>
          <w:rFonts w:ascii="Calibri" w:hAnsi="Calibri" w:cs="Calibri"/>
          <w:color w:val="000000" w:themeColor="text1"/>
          <w:sz w:val="24"/>
          <w:szCs w:val="24"/>
        </w:rPr>
        <w:t>formerly</w:t>
      </w:r>
      <w:r w:rsidRPr="00FB062E">
        <w:rPr>
          <w:rFonts w:ascii="Calibri" w:hAnsi="Calibri" w:cs="Calibri"/>
          <w:color w:val="000000" w:themeColor="text1"/>
          <w:sz w:val="24"/>
          <w:szCs w:val="24"/>
        </w:rPr>
        <w:t xml:space="preserve"> aligned with the ISLLC/ELCC standards, but the test was recently </w:t>
      </w:r>
      <w:r w:rsidR="00FB062E">
        <w:rPr>
          <w:rFonts w:ascii="Calibri" w:hAnsi="Calibri" w:cs="Calibri"/>
          <w:color w:val="000000" w:themeColor="text1"/>
          <w:sz w:val="24"/>
          <w:szCs w:val="24"/>
        </w:rPr>
        <w:t xml:space="preserve">revised to align </w:t>
      </w:r>
      <w:r w:rsidRPr="00FB062E">
        <w:rPr>
          <w:rFonts w:ascii="Calibri" w:hAnsi="Calibri" w:cs="Calibri"/>
          <w:color w:val="000000" w:themeColor="text1"/>
          <w:sz w:val="24"/>
          <w:szCs w:val="24"/>
        </w:rPr>
        <w:t xml:space="preserve">with the Professional Standards for Educational Leaders (PSELs). </w:t>
      </w:r>
    </w:p>
    <w:p w14:paraId="6BB7B092" w14:textId="260E0E54" w:rsidR="00F00BAA" w:rsidRPr="00FB062E" w:rsidRDefault="00F00BAA" w:rsidP="00F00BAA">
      <w:pPr>
        <w:rPr>
          <w:rFonts w:ascii="Calibri" w:hAnsi="Calibri" w:cs="Calibri"/>
          <w:color w:val="000000" w:themeColor="text1"/>
        </w:rPr>
      </w:pPr>
      <w:r w:rsidRPr="00FB062E">
        <w:rPr>
          <w:rFonts w:ascii="Calibri" w:hAnsi="Calibri" w:cs="Calibri"/>
          <w:color w:val="000000" w:themeColor="text1"/>
        </w:rPr>
        <w:t xml:space="preserve">Upon completion of their educational leadership coursework, </w:t>
      </w:r>
      <w:r w:rsidR="00F379A1">
        <w:rPr>
          <w:rFonts w:ascii="Calibri" w:hAnsi="Calibri" w:cs="Calibri"/>
          <w:color w:val="000000" w:themeColor="text1"/>
        </w:rPr>
        <w:t>candidate</w:t>
      </w:r>
      <w:r w:rsidRPr="00FB062E">
        <w:rPr>
          <w:rFonts w:ascii="Calibri" w:hAnsi="Calibri" w:cs="Calibri"/>
          <w:color w:val="000000" w:themeColor="text1"/>
        </w:rPr>
        <w:t xml:space="preserve">s register to take this 4-hour electronic examination at a testing center and time convenient to them. </w:t>
      </w:r>
      <w:r w:rsidR="00F379A1">
        <w:rPr>
          <w:rFonts w:ascii="Calibri" w:hAnsi="Calibri" w:cs="Calibri"/>
          <w:color w:val="000000" w:themeColor="text1"/>
        </w:rPr>
        <w:t>Candidate</w:t>
      </w:r>
      <w:r w:rsidRPr="00FB062E">
        <w:rPr>
          <w:rFonts w:ascii="Calibri" w:hAnsi="Calibri" w:cs="Calibri"/>
          <w:color w:val="000000" w:themeColor="text1"/>
        </w:rPr>
        <w:t>s receive their scores directly from ETS. The passing score in the State of New Jersey is 163.</w:t>
      </w:r>
    </w:p>
    <w:p w14:paraId="72583900" w14:textId="3D8FA265" w:rsidR="00225A64" w:rsidRPr="00FB062E" w:rsidRDefault="00225A64" w:rsidP="00F00BAA">
      <w:pPr>
        <w:jc w:val="both"/>
      </w:pPr>
    </w:p>
    <w:p w14:paraId="4A55DE06" w14:textId="13259CA6" w:rsidR="00225A64" w:rsidRPr="00FB062E" w:rsidRDefault="00225A64" w:rsidP="00F00BAA">
      <w:pPr>
        <w:jc w:val="both"/>
        <w:rPr>
          <w:b/>
          <w:bCs/>
        </w:rPr>
      </w:pPr>
      <w:r w:rsidRPr="00FB062E">
        <w:rPr>
          <w:b/>
          <w:bCs/>
        </w:rPr>
        <w:t>b.</w:t>
      </w:r>
      <w:r w:rsidRPr="00FB062E">
        <w:t xml:space="preserve"> </w:t>
      </w:r>
      <w:r w:rsidRPr="00FB062E">
        <w:rPr>
          <w:b/>
          <w:bCs/>
        </w:rPr>
        <w:t>Alignment to Standards</w:t>
      </w:r>
    </w:p>
    <w:p w14:paraId="179E781B" w14:textId="11C6AEAC" w:rsidR="00F00BAA" w:rsidRPr="00F00BAA" w:rsidRDefault="00F00BAA" w:rsidP="00F00BAA">
      <w:pPr>
        <w:jc w:val="both"/>
        <w:rPr>
          <w:bCs/>
        </w:rPr>
      </w:pPr>
      <w:r w:rsidRPr="00F00BAA">
        <w:rPr>
          <w:bCs/>
        </w:rPr>
        <w:t>CAEP Standards for Advanced Programs:</w:t>
      </w:r>
      <w:r w:rsidRPr="00FB062E">
        <w:rPr>
          <w:bCs/>
        </w:rPr>
        <w:t xml:space="preserve"> </w:t>
      </w:r>
      <w:r w:rsidRPr="00F00BAA">
        <w:rPr>
          <w:bCs/>
        </w:rPr>
        <w:t>A.1.2</w:t>
      </w:r>
    </w:p>
    <w:p w14:paraId="25DAE7EB" w14:textId="77777777" w:rsidR="00F00BAA" w:rsidRPr="00FB062E" w:rsidRDefault="00F00BAA" w:rsidP="00F00BAA">
      <w:pPr>
        <w:jc w:val="both"/>
        <w:rPr>
          <w:bCs/>
        </w:rPr>
      </w:pPr>
    </w:p>
    <w:p w14:paraId="0F85F884" w14:textId="0E27BF19" w:rsidR="00F00BAA" w:rsidRPr="00F00BAA" w:rsidRDefault="00F00BAA" w:rsidP="00F00BAA">
      <w:pPr>
        <w:jc w:val="both"/>
        <w:rPr>
          <w:bCs/>
        </w:rPr>
      </w:pPr>
      <w:r w:rsidRPr="00F00BAA">
        <w:rPr>
          <w:bCs/>
        </w:rPr>
        <w:t>Alignment with the PSEL/NELP standards:</w:t>
      </w:r>
    </w:p>
    <w:p w14:paraId="219B886B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Strategic Leadership – 13%</w:t>
      </w:r>
    </w:p>
    <w:p w14:paraId="66CD27A4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Instructional Leadership – 17%</w:t>
      </w:r>
    </w:p>
    <w:p w14:paraId="6776B650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Climate and Cultural Leadership – 13%</w:t>
      </w:r>
    </w:p>
    <w:p w14:paraId="503CFEF1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Ethical Leadership – 12%</w:t>
      </w:r>
    </w:p>
    <w:p w14:paraId="4F0D4242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Organizational Leadership – 10%</w:t>
      </w:r>
    </w:p>
    <w:p w14:paraId="4AB3CE98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Community Engagement Leadership – 10%</w:t>
      </w:r>
    </w:p>
    <w:p w14:paraId="6F097748" w14:textId="77777777" w:rsidR="00F00BAA" w:rsidRPr="00F00BAA" w:rsidRDefault="00F00BAA" w:rsidP="00F00BAA">
      <w:pPr>
        <w:numPr>
          <w:ilvl w:val="0"/>
          <w:numId w:val="3"/>
        </w:numPr>
        <w:ind w:left="1350"/>
        <w:rPr>
          <w:bCs/>
        </w:rPr>
      </w:pPr>
      <w:r w:rsidRPr="00F00BAA">
        <w:rPr>
          <w:bCs/>
        </w:rPr>
        <w:t>Analysis Constructed Response (CR) – 25%</w:t>
      </w:r>
    </w:p>
    <w:p w14:paraId="24F74900" w14:textId="77777777" w:rsidR="00F00BAA" w:rsidRPr="00FB062E" w:rsidRDefault="00F00BAA" w:rsidP="00F00BAA">
      <w:pPr>
        <w:jc w:val="both"/>
        <w:rPr>
          <w:bCs/>
        </w:rPr>
      </w:pPr>
    </w:p>
    <w:p w14:paraId="33E5905B" w14:textId="08DFB0CE" w:rsidR="00225A64" w:rsidRPr="00FB062E" w:rsidRDefault="00225A64" w:rsidP="00F00BAA">
      <w:pPr>
        <w:jc w:val="both"/>
      </w:pPr>
      <w:bookmarkStart w:id="0" w:name="_GoBack"/>
      <w:bookmarkEnd w:id="0"/>
    </w:p>
    <w:p w14:paraId="088E75BA" w14:textId="699115F6" w:rsidR="00225A64" w:rsidRPr="00FB062E" w:rsidRDefault="00225A64" w:rsidP="00F00BAA">
      <w:pPr>
        <w:jc w:val="both"/>
      </w:pPr>
      <w:r w:rsidRPr="00FB062E">
        <w:rPr>
          <w:b/>
          <w:bCs/>
        </w:rPr>
        <w:t xml:space="preserve">c. Analysis of </w:t>
      </w:r>
      <w:r w:rsidR="000E1E92" w:rsidRPr="00FB062E">
        <w:rPr>
          <w:b/>
          <w:bCs/>
        </w:rPr>
        <w:t>D</w:t>
      </w:r>
      <w:r w:rsidRPr="00FB062E">
        <w:rPr>
          <w:b/>
          <w:bCs/>
        </w:rPr>
        <w:t xml:space="preserve">ata </w:t>
      </w:r>
      <w:r w:rsidR="000E1E92" w:rsidRPr="00FB062E">
        <w:rPr>
          <w:b/>
          <w:bCs/>
        </w:rPr>
        <w:t>F</w:t>
      </w:r>
      <w:r w:rsidRPr="00FB062E">
        <w:rPr>
          <w:b/>
          <w:bCs/>
        </w:rPr>
        <w:t>indings</w:t>
      </w:r>
    </w:p>
    <w:p w14:paraId="743825CA" w14:textId="6D276C15" w:rsidR="00FB062E" w:rsidRPr="00FB062E" w:rsidRDefault="00FB062E" w:rsidP="00FB062E">
      <w:pPr>
        <w:rPr>
          <w:rFonts w:ascii="Calibri" w:hAnsi="Calibri" w:cs="Calibri"/>
        </w:rPr>
      </w:pPr>
      <w:r w:rsidRPr="00FB062E">
        <w:rPr>
          <w:rFonts w:ascii="Calibri" w:hAnsi="Calibri" w:cs="Calibri"/>
        </w:rPr>
        <w:t xml:space="preserve">The overall pass rate for TCNJ educational leadership </w:t>
      </w:r>
      <w:r w:rsidR="00F379A1">
        <w:rPr>
          <w:rFonts w:ascii="Calibri" w:hAnsi="Calibri" w:cs="Calibri"/>
        </w:rPr>
        <w:t>candidate</w:t>
      </w:r>
      <w:r w:rsidRPr="00FB062E">
        <w:rPr>
          <w:rFonts w:ascii="Calibri" w:hAnsi="Calibri" w:cs="Calibri"/>
        </w:rPr>
        <w:t>s during the past three year</w:t>
      </w:r>
      <w:r>
        <w:rPr>
          <w:rFonts w:ascii="Calibri" w:hAnsi="Calibri" w:cs="Calibri"/>
        </w:rPr>
        <w:t>s</w:t>
      </w:r>
      <w:r w:rsidRPr="00FB062E">
        <w:rPr>
          <w:rFonts w:ascii="Calibri" w:hAnsi="Calibri" w:cs="Calibri"/>
        </w:rPr>
        <w:t xml:space="preserve"> is 97%, with 35 of 36 test takers obtaining a passing score. </w:t>
      </w:r>
      <w:r>
        <w:rPr>
          <w:rFonts w:ascii="Calibri" w:hAnsi="Calibri" w:cs="Calibri"/>
        </w:rPr>
        <w:t xml:space="preserve">The </w:t>
      </w:r>
      <w:r w:rsidR="00F379A1">
        <w:rPr>
          <w:rFonts w:ascii="Calibri" w:hAnsi="Calibri" w:cs="Calibri"/>
        </w:rPr>
        <w:t>candidate</w:t>
      </w:r>
      <w:r>
        <w:rPr>
          <w:rFonts w:ascii="Calibri" w:hAnsi="Calibri" w:cs="Calibri"/>
        </w:rPr>
        <w:t xml:space="preserve"> who did not pass may retake the assessment.</w:t>
      </w:r>
      <w:r w:rsidRPr="00FB062E">
        <w:rPr>
          <w:rFonts w:ascii="Calibri" w:hAnsi="Calibri" w:cs="Calibri"/>
        </w:rPr>
        <w:t xml:space="preserve"> </w:t>
      </w:r>
      <w:r w:rsidR="00673AEF" w:rsidRPr="00FB062E">
        <w:rPr>
          <w:rFonts w:ascii="Calibri" w:hAnsi="Calibri" w:cs="Calibri"/>
        </w:rPr>
        <w:t xml:space="preserve">TCNJ </w:t>
      </w:r>
      <w:r w:rsidR="00673AEF">
        <w:rPr>
          <w:rFonts w:ascii="Calibri" w:hAnsi="Calibri" w:cs="Calibri"/>
        </w:rPr>
        <w:t>candidate</w:t>
      </w:r>
      <w:r w:rsidR="00673AEF" w:rsidRPr="00FB062E">
        <w:rPr>
          <w:rFonts w:ascii="Calibri" w:hAnsi="Calibri" w:cs="Calibri"/>
        </w:rPr>
        <w:t xml:space="preserve">s typically perform at or slightly above the national average performance range. </w:t>
      </w:r>
      <w:r w:rsidRPr="00FB062E">
        <w:rPr>
          <w:rFonts w:ascii="Calibri" w:hAnsi="Calibri" w:cs="Calibri"/>
        </w:rPr>
        <w:t xml:space="preserve">The mean scores are stable across the three years when interpreted in light of the exam’s error range of 1.8 to 4.8 points. Our </w:t>
      </w:r>
      <w:r w:rsidR="00F379A1">
        <w:rPr>
          <w:rFonts w:ascii="Calibri" w:hAnsi="Calibri" w:cs="Calibri"/>
        </w:rPr>
        <w:t>candidate</w:t>
      </w:r>
      <w:r w:rsidRPr="00FB062E">
        <w:rPr>
          <w:rFonts w:ascii="Calibri" w:hAnsi="Calibri" w:cs="Calibri"/>
        </w:rPr>
        <w:t xml:space="preserve">s’ slightly lower performance in 2017-18 may be attributed to one particularly low scoring </w:t>
      </w:r>
      <w:r w:rsidR="00F379A1">
        <w:rPr>
          <w:rFonts w:ascii="Calibri" w:hAnsi="Calibri" w:cs="Calibri"/>
        </w:rPr>
        <w:t>candidate</w:t>
      </w:r>
      <w:r w:rsidRPr="00FB062E">
        <w:rPr>
          <w:rFonts w:ascii="Calibri" w:hAnsi="Calibri" w:cs="Calibri"/>
        </w:rPr>
        <w:t xml:space="preserve"> and to the reformulation of the exam to align with the PSELs before our </w:t>
      </w:r>
      <w:r w:rsidR="00F379A1">
        <w:rPr>
          <w:rFonts w:ascii="Calibri" w:hAnsi="Calibri" w:cs="Calibri"/>
        </w:rPr>
        <w:t>candidate</w:t>
      </w:r>
      <w:r w:rsidRPr="00FB062E">
        <w:rPr>
          <w:rFonts w:ascii="Calibri" w:hAnsi="Calibri" w:cs="Calibri"/>
        </w:rPr>
        <w:t>s were exposed to the content from the new standards</w:t>
      </w:r>
      <w:r w:rsidR="00673AEF">
        <w:rPr>
          <w:rFonts w:ascii="Calibri" w:hAnsi="Calibri" w:cs="Calibri"/>
        </w:rPr>
        <w:t xml:space="preserve"> in their courses</w:t>
      </w:r>
      <w:r w:rsidRPr="00FB062E">
        <w:rPr>
          <w:rFonts w:ascii="Calibri" w:hAnsi="Calibri" w:cs="Calibri"/>
        </w:rPr>
        <w:t>. Overall, the assessment results attest to a generally strong program in need of realignment to the new professional standards.</w:t>
      </w:r>
    </w:p>
    <w:p w14:paraId="5827D53C" w14:textId="0B2C3737" w:rsidR="00225A64" w:rsidRPr="00FB062E" w:rsidRDefault="00225A64" w:rsidP="00F00BAA">
      <w:pPr>
        <w:jc w:val="both"/>
      </w:pPr>
    </w:p>
    <w:p w14:paraId="3A4EF958" w14:textId="01BBEA8E" w:rsidR="00225A64" w:rsidRPr="00FB062E" w:rsidRDefault="00225A64" w:rsidP="00F00BAA">
      <w:pPr>
        <w:jc w:val="both"/>
      </w:pPr>
      <w:r w:rsidRPr="00FB062E">
        <w:rPr>
          <w:b/>
          <w:bCs/>
        </w:rPr>
        <w:t xml:space="preserve">d. Interpretation of </w:t>
      </w:r>
      <w:r w:rsidR="000E1E92" w:rsidRPr="00FB062E">
        <w:rPr>
          <w:b/>
          <w:bCs/>
        </w:rPr>
        <w:t>E</w:t>
      </w:r>
      <w:r w:rsidRPr="00FB062E">
        <w:rPr>
          <w:b/>
          <w:bCs/>
        </w:rPr>
        <w:t xml:space="preserve">vidence </w:t>
      </w:r>
      <w:r w:rsidR="000E1E92" w:rsidRPr="00FB062E">
        <w:rPr>
          <w:b/>
          <w:bCs/>
        </w:rPr>
        <w:t>for</w:t>
      </w:r>
      <w:r w:rsidRPr="00FB062E">
        <w:rPr>
          <w:b/>
          <w:bCs/>
        </w:rPr>
        <w:t xml:space="preserve"> </w:t>
      </w:r>
      <w:r w:rsidR="000E1E92" w:rsidRPr="00FB062E">
        <w:rPr>
          <w:b/>
          <w:bCs/>
        </w:rPr>
        <w:t>M</w:t>
      </w:r>
      <w:r w:rsidRPr="00FB062E">
        <w:rPr>
          <w:b/>
          <w:bCs/>
        </w:rPr>
        <w:t xml:space="preserve">eeting </w:t>
      </w:r>
      <w:r w:rsidR="000E1E92" w:rsidRPr="00FB062E">
        <w:rPr>
          <w:b/>
          <w:bCs/>
        </w:rPr>
        <w:t>S</w:t>
      </w:r>
      <w:r w:rsidRPr="00FB062E">
        <w:rPr>
          <w:b/>
          <w:bCs/>
        </w:rPr>
        <w:t>tandards</w:t>
      </w:r>
      <w:r w:rsidRPr="00FB062E">
        <w:t xml:space="preserve"> </w:t>
      </w:r>
    </w:p>
    <w:p w14:paraId="3EC42ABD" w14:textId="5C1B0C18" w:rsidR="00FB062E" w:rsidRDefault="00FB062E" w:rsidP="00673AEF">
      <w:r w:rsidRPr="00FB062E">
        <w:t>Scores are reported holistically, thus precluding analysis by individual standard.</w:t>
      </w:r>
      <w:r>
        <w:t xml:space="preserve"> </w:t>
      </w:r>
    </w:p>
    <w:p w14:paraId="14ABEDCF" w14:textId="77777777" w:rsidR="00673AEF" w:rsidRPr="00FB062E" w:rsidRDefault="00673AEF" w:rsidP="00673AEF"/>
    <w:p w14:paraId="150A6ABE" w14:textId="1D10B5B5" w:rsidR="000E1E92" w:rsidRPr="00FB062E" w:rsidRDefault="000E1E92" w:rsidP="00F00BAA">
      <w:pPr>
        <w:jc w:val="both"/>
        <w:rPr>
          <w:b/>
          <w:bCs/>
          <w:u w:val="single"/>
        </w:rPr>
      </w:pPr>
      <w:r w:rsidRPr="00FB062E">
        <w:rPr>
          <w:b/>
          <w:bCs/>
          <w:u w:val="single"/>
        </w:rPr>
        <w:t>Part 2</w:t>
      </w:r>
    </w:p>
    <w:p w14:paraId="5C54C756" w14:textId="4395BB46" w:rsidR="00225A64" w:rsidRPr="00FB062E" w:rsidRDefault="00225A64" w:rsidP="00F00BAA">
      <w:pPr>
        <w:jc w:val="both"/>
        <w:rPr>
          <w:b/>
          <w:bCs/>
        </w:rPr>
      </w:pPr>
      <w:r w:rsidRPr="00FB062E">
        <w:rPr>
          <w:b/>
          <w:bCs/>
        </w:rPr>
        <w:lastRenderedPageBreak/>
        <w:t>e. Assessment</w:t>
      </w:r>
      <w:r w:rsidR="000E1E92" w:rsidRPr="00FB062E">
        <w:rPr>
          <w:b/>
          <w:bCs/>
        </w:rPr>
        <w:t xml:space="preserve"> Tool</w:t>
      </w:r>
    </w:p>
    <w:p w14:paraId="0520A44F" w14:textId="40C53854" w:rsidR="00FB062E" w:rsidRPr="00F379A1" w:rsidRDefault="00FB062E" w:rsidP="00FB062E">
      <w:pPr>
        <w:pStyle w:val="BodyTextIndent3"/>
        <w:spacing w:line="240" w:lineRule="auto"/>
        <w:ind w:left="0"/>
        <w:rPr>
          <w:rFonts w:ascii="Calibri" w:hAnsi="Calibri" w:cs="Calibri"/>
          <w:color w:val="000000" w:themeColor="text1"/>
          <w:sz w:val="24"/>
          <w:szCs w:val="24"/>
        </w:rPr>
      </w:pPr>
      <w:r w:rsidRPr="00FB062E">
        <w:rPr>
          <w:rFonts w:ascii="Calibri" w:hAnsi="Calibri" w:cs="Calibri"/>
          <w:color w:val="000000" w:themeColor="text1"/>
          <w:sz w:val="24"/>
          <w:szCs w:val="24"/>
        </w:rPr>
        <w:t xml:space="preserve">The SLLA is divided into two sections: Section 1 includes selected-response questions that measure a broad range of concepts across the leadership knowledge base content area. Section 2 consists of 4 constructed-response items calling for written answers based on scenarios and sets of documents an educator might </w:t>
      </w:r>
      <w:r w:rsidRPr="00F379A1">
        <w:rPr>
          <w:rFonts w:ascii="Calibri" w:hAnsi="Calibri" w:cs="Calibri"/>
          <w:color w:val="000000" w:themeColor="text1"/>
          <w:sz w:val="24"/>
          <w:szCs w:val="24"/>
        </w:rPr>
        <w:t xml:space="preserve">encounter. ETS provides candidates with detailed instructions, practice questions, and examples of scored responses for candidates in the </w:t>
      </w:r>
      <w:r w:rsidRPr="00F379A1">
        <w:rPr>
          <w:rFonts w:ascii="Calibri" w:hAnsi="Calibri" w:cs="Calibri"/>
          <w:i/>
          <w:iCs/>
          <w:color w:val="000000" w:themeColor="text1"/>
          <w:sz w:val="24"/>
          <w:szCs w:val="24"/>
        </w:rPr>
        <w:t>SLS Study Companion</w:t>
      </w:r>
      <w:r w:rsidRPr="00F379A1">
        <w:rPr>
          <w:rFonts w:ascii="Calibri" w:hAnsi="Calibri" w:cs="Calibri"/>
          <w:color w:val="000000" w:themeColor="text1"/>
          <w:sz w:val="24"/>
          <w:szCs w:val="24"/>
        </w:rPr>
        <w:t xml:space="preserve"> and in </w:t>
      </w:r>
      <w:r w:rsidRPr="00F379A1">
        <w:rPr>
          <w:rFonts w:ascii="Calibri" w:hAnsi="Calibri" w:cs="Calibri"/>
          <w:i/>
          <w:iCs/>
          <w:color w:val="000000" w:themeColor="text1"/>
          <w:sz w:val="24"/>
          <w:szCs w:val="24"/>
        </w:rPr>
        <w:t>The School Leadership Series Information Bulletin</w:t>
      </w:r>
      <w:r w:rsidRPr="00F379A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3D629698" w14:textId="157A050E" w:rsidR="00FB062E" w:rsidRPr="00F379A1" w:rsidRDefault="00FB062E" w:rsidP="00FB062E">
      <w:pPr>
        <w:rPr>
          <w:rFonts w:ascii="Calibri" w:hAnsi="Calibri" w:cs="Calibri"/>
          <w:color w:val="000000" w:themeColor="text1"/>
        </w:rPr>
      </w:pPr>
      <w:r w:rsidRPr="00F379A1">
        <w:rPr>
          <w:rFonts w:ascii="Calibri" w:hAnsi="Calibri" w:cs="Calibri"/>
          <w:color w:val="000000" w:themeColor="text1"/>
        </w:rPr>
        <w:t>Test Statistics for NJ 2016-2017</w:t>
      </w:r>
    </w:p>
    <w:p w14:paraId="0A381AA4" w14:textId="77777777" w:rsidR="00FB062E" w:rsidRPr="00FB062E" w:rsidRDefault="00FB062E" w:rsidP="00FB062E">
      <w:pPr>
        <w:rPr>
          <w:rFonts w:ascii="Calibri" w:hAnsi="Calibri" w:cs="Calibri"/>
        </w:rPr>
      </w:pPr>
      <w:r w:rsidRPr="00FB062E">
        <w:rPr>
          <w:rFonts w:ascii="Calibri" w:hAnsi="Calibri" w:cs="Calibri"/>
        </w:rPr>
        <w:t>State Reliability Estimate: 0.7871</w:t>
      </w:r>
    </w:p>
    <w:p w14:paraId="2562BBC1" w14:textId="77777777" w:rsidR="00FB062E" w:rsidRPr="00FB062E" w:rsidRDefault="00FB062E" w:rsidP="00FB062E">
      <w:pPr>
        <w:rPr>
          <w:rFonts w:ascii="Calibri" w:hAnsi="Calibri" w:cs="Calibri"/>
        </w:rPr>
      </w:pPr>
      <w:r w:rsidRPr="00FB062E">
        <w:rPr>
          <w:rFonts w:ascii="Calibri" w:hAnsi="Calibri" w:cs="Calibri"/>
        </w:rPr>
        <w:t>Consistently Classified: .905</w:t>
      </w:r>
    </w:p>
    <w:p w14:paraId="49E7AD3C" w14:textId="36D25062" w:rsidR="00FB062E" w:rsidRPr="00FB062E" w:rsidRDefault="00FB062E" w:rsidP="00FB062E">
      <w:pPr>
        <w:rPr>
          <w:rFonts w:ascii="Calibri" w:hAnsi="Calibri" w:cs="Calibri"/>
        </w:rPr>
      </w:pPr>
    </w:p>
    <w:p w14:paraId="15D4DF24" w14:textId="77777777" w:rsidR="000E1E92" w:rsidRPr="00FB062E" w:rsidRDefault="000E1E92" w:rsidP="00F00BAA">
      <w:pPr>
        <w:jc w:val="both"/>
      </w:pPr>
    </w:p>
    <w:p w14:paraId="5363E5D2" w14:textId="7961E5D0" w:rsidR="00225A64" w:rsidRPr="00FB062E" w:rsidRDefault="00225A64" w:rsidP="00F00BAA">
      <w:pPr>
        <w:jc w:val="both"/>
        <w:rPr>
          <w:b/>
          <w:bCs/>
        </w:rPr>
      </w:pPr>
      <w:r w:rsidRPr="00FB062E">
        <w:rPr>
          <w:b/>
          <w:bCs/>
        </w:rPr>
        <w:t>f. Scoring Rubric</w:t>
      </w:r>
    </w:p>
    <w:p w14:paraId="57EDA373" w14:textId="0D22F936" w:rsidR="00FB062E" w:rsidRPr="00FB062E" w:rsidRDefault="00FB062E" w:rsidP="00FB062E">
      <w:pPr>
        <w:rPr>
          <w:rFonts w:ascii="Calibri" w:hAnsi="Calibri" w:cs="Calibri"/>
        </w:rPr>
      </w:pPr>
      <w:r w:rsidRPr="00FB062E">
        <w:rPr>
          <w:rFonts w:ascii="Calibri" w:hAnsi="Calibri" w:cs="Calibri"/>
        </w:rPr>
        <w:t xml:space="preserve">Scores are reported holistically as scaled score and whether the candidate passed. </w:t>
      </w:r>
    </w:p>
    <w:p w14:paraId="33A8F353" w14:textId="77777777" w:rsidR="00FB062E" w:rsidRPr="00FB062E" w:rsidRDefault="00FB062E" w:rsidP="00F00BAA">
      <w:pPr>
        <w:jc w:val="both"/>
      </w:pPr>
    </w:p>
    <w:p w14:paraId="45FADF96" w14:textId="089CE4FB" w:rsidR="00225A64" w:rsidRPr="00FB062E" w:rsidRDefault="00225A64" w:rsidP="00F00BAA">
      <w:pPr>
        <w:jc w:val="both"/>
        <w:rPr>
          <w:b/>
          <w:bCs/>
        </w:rPr>
      </w:pPr>
      <w:r w:rsidRPr="00FB062E">
        <w:t xml:space="preserve">g. </w:t>
      </w:r>
      <w:r w:rsidR="000E1E92" w:rsidRPr="00FB062E">
        <w:rPr>
          <w:b/>
          <w:bCs/>
        </w:rPr>
        <w:t>Data Tables</w:t>
      </w:r>
    </w:p>
    <w:p w14:paraId="0609276F" w14:textId="77777777" w:rsidR="00F00BAA" w:rsidRPr="00FB062E" w:rsidRDefault="00F00BAA" w:rsidP="00F00BAA">
      <w:pPr>
        <w:jc w:val="both"/>
        <w:rPr>
          <w:b/>
          <w:bCs/>
        </w:rPr>
      </w:pPr>
    </w:p>
    <w:tbl>
      <w:tblPr>
        <w:tblStyle w:val="GridTable1Light-Accent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970"/>
        <w:gridCol w:w="902"/>
        <w:gridCol w:w="901"/>
        <w:gridCol w:w="984"/>
        <w:gridCol w:w="944"/>
        <w:gridCol w:w="1375"/>
        <w:gridCol w:w="1375"/>
        <w:gridCol w:w="803"/>
      </w:tblGrid>
      <w:tr w:rsidR="00F00BAA" w:rsidRPr="00FB062E" w14:paraId="4151C192" w14:textId="77777777" w:rsidTr="00F0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480533A" w14:textId="77777777" w:rsidR="00F00BAA" w:rsidRPr="00FB062E" w:rsidRDefault="00F00BAA" w:rsidP="009B6B61">
            <w:pPr>
              <w:spacing w:after="160"/>
              <w:contextualSpacing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Academic Year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14:paraId="5A05BE59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Number of Test Takers*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296433DA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Passing Score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0425EBAB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Natl.</w:t>
            </w:r>
          </w:p>
          <w:p w14:paraId="3DCEBED0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Median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3F7AF42D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Program</w:t>
            </w:r>
          </w:p>
          <w:p w14:paraId="6AF6282E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Mean</w:t>
            </w:r>
          </w:p>
          <w:p w14:paraId="007051A5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Scores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FF8CDD4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Possible Range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36FD2246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Natl. Avg.</w:t>
            </w:r>
          </w:p>
          <w:p w14:paraId="281897CB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Performance</w:t>
            </w:r>
          </w:p>
          <w:p w14:paraId="528421B5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Range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320E0A3A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Prog.</w:t>
            </w:r>
            <w:r w:rsidRPr="00FB062E">
              <w:rPr>
                <w:rFonts w:ascii="Calibri" w:hAnsi="Calibri" w:cs="Calibri"/>
                <w:b w:val="0"/>
                <w:bCs w:val="0"/>
              </w:rPr>
              <w:br/>
              <w:t>Performance Range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5FAB1501" w14:textId="77777777" w:rsidR="00F00BAA" w:rsidRPr="00FB062E" w:rsidRDefault="00F00BAA" w:rsidP="009B6B61">
            <w:pPr>
              <w:spacing w:after="1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B062E">
              <w:rPr>
                <w:rFonts w:ascii="Calibri" w:hAnsi="Calibri" w:cs="Calibri"/>
                <w:b w:val="0"/>
                <w:bCs w:val="0"/>
              </w:rPr>
              <w:t>Pass Rate</w:t>
            </w:r>
          </w:p>
        </w:tc>
      </w:tr>
      <w:tr w:rsidR="00F00BAA" w:rsidRPr="00FB062E" w14:paraId="77B8A4BD" w14:textId="77777777" w:rsidTr="00F00B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E1B1" w14:textId="77777777" w:rsidR="00F00BAA" w:rsidRPr="00FB062E" w:rsidRDefault="00F00BAA" w:rsidP="009B6B61">
            <w:pPr>
              <w:spacing w:after="160"/>
              <w:contextualSpacing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2017-2018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3378" w14:textId="77777777" w:rsidR="00F00BAA" w:rsidRPr="00FB062E" w:rsidRDefault="00F00BAA" w:rsidP="00F00BAA">
            <w:pPr>
              <w:ind w:right="14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5949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256E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177.5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B39F" w14:textId="324DB28A" w:rsidR="00F00BAA" w:rsidRPr="00FB062E" w:rsidRDefault="00F00BAA" w:rsidP="00F00BAA">
            <w:pPr>
              <w:ind w:right="144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176.4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9940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100-200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18D3" w14:textId="77777777" w:rsidR="00F00BAA" w:rsidRPr="00FB062E" w:rsidRDefault="00F00BAA" w:rsidP="00F00BAA">
            <w:pPr>
              <w:spacing w:after="160"/>
              <w:ind w:right="14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B062E">
              <w:rPr>
                <w:rFonts w:ascii="Calibri" w:hAnsi="Calibri" w:cs="Calibri"/>
                <w:bCs/>
              </w:rPr>
              <w:t>169-181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11B3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153-188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B898" w14:textId="7564ACFF" w:rsidR="00F00BAA" w:rsidRPr="00FB062E" w:rsidRDefault="00F00BAA" w:rsidP="00F00BAA">
            <w:pPr>
              <w:spacing w:after="160"/>
              <w:ind w:right="3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94%</w:t>
            </w:r>
          </w:p>
        </w:tc>
      </w:tr>
      <w:tr w:rsidR="00F00BAA" w:rsidRPr="00FB062E" w14:paraId="618937F3" w14:textId="77777777" w:rsidTr="00F00B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0194DAE1" w14:textId="77777777" w:rsidR="00F00BAA" w:rsidRPr="00FB062E" w:rsidRDefault="00F00BAA" w:rsidP="009B6B61">
            <w:pPr>
              <w:spacing w:after="160"/>
              <w:contextualSpacing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2016-2017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</w:tcPr>
          <w:p w14:paraId="469D92B9" w14:textId="77777777" w:rsidR="00F00BAA" w:rsidRPr="00FB062E" w:rsidRDefault="00F00BAA" w:rsidP="00F00BAA">
            <w:pPr>
              <w:ind w:right="14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2612AAC3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163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14:paraId="352DBAD4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176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36653580" w14:textId="69C7345E" w:rsidR="00F00BAA" w:rsidRPr="00FB062E" w:rsidRDefault="00F00BAA" w:rsidP="00F00BAA">
            <w:pPr>
              <w:ind w:right="144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177.8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63C24B36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100-200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2FCC3D0C" w14:textId="77777777" w:rsidR="00F00BAA" w:rsidRPr="00FB062E" w:rsidRDefault="00F00BAA" w:rsidP="00F00BAA">
            <w:pPr>
              <w:spacing w:after="160"/>
              <w:ind w:right="14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  <w:bCs/>
              </w:rPr>
              <w:t>169-181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14:paraId="494EB473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166-193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14:paraId="6B6D775E" w14:textId="77777777" w:rsidR="00F00BAA" w:rsidRPr="00FB062E" w:rsidRDefault="00F00BAA" w:rsidP="00F00BAA">
            <w:pPr>
              <w:spacing w:after="160"/>
              <w:ind w:right="3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100%</w:t>
            </w:r>
          </w:p>
        </w:tc>
      </w:tr>
      <w:tr w:rsidR="00F00BAA" w:rsidRPr="00FB062E" w14:paraId="652647C9" w14:textId="77777777" w:rsidTr="00F00B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auto"/>
          </w:tcPr>
          <w:p w14:paraId="68344735" w14:textId="77777777" w:rsidR="00F00BAA" w:rsidRPr="00FB062E" w:rsidRDefault="00F00BAA" w:rsidP="009B6B61">
            <w:pPr>
              <w:spacing w:after="160"/>
              <w:contextualSpacing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2015-2016</w:t>
            </w:r>
          </w:p>
        </w:tc>
        <w:tc>
          <w:tcPr>
            <w:tcW w:w="1054" w:type="dxa"/>
            <w:shd w:val="clear" w:color="auto" w:fill="auto"/>
          </w:tcPr>
          <w:p w14:paraId="389CA59B" w14:textId="77777777" w:rsidR="00F00BAA" w:rsidRPr="00FB062E" w:rsidRDefault="00F00BAA" w:rsidP="00F00BAA">
            <w:pPr>
              <w:ind w:right="14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8</w:t>
            </w:r>
          </w:p>
        </w:tc>
        <w:tc>
          <w:tcPr>
            <w:tcW w:w="1016" w:type="dxa"/>
            <w:shd w:val="clear" w:color="auto" w:fill="auto"/>
          </w:tcPr>
          <w:p w14:paraId="6C89ED9E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163</w:t>
            </w:r>
          </w:p>
        </w:tc>
        <w:tc>
          <w:tcPr>
            <w:tcW w:w="791" w:type="dxa"/>
            <w:shd w:val="clear" w:color="auto" w:fill="auto"/>
          </w:tcPr>
          <w:p w14:paraId="026DBD17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176</w:t>
            </w:r>
          </w:p>
        </w:tc>
        <w:tc>
          <w:tcPr>
            <w:tcW w:w="978" w:type="dxa"/>
            <w:shd w:val="clear" w:color="auto" w:fill="auto"/>
          </w:tcPr>
          <w:p w14:paraId="46FBC40B" w14:textId="1A30EAFE" w:rsidR="00F00BAA" w:rsidRPr="00FB062E" w:rsidRDefault="00F00BAA" w:rsidP="00F00BAA">
            <w:pPr>
              <w:ind w:right="144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179.6</w:t>
            </w:r>
          </w:p>
        </w:tc>
        <w:tc>
          <w:tcPr>
            <w:tcW w:w="828" w:type="dxa"/>
            <w:shd w:val="clear" w:color="auto" w:fill="auto"/>
          </w:tcPr>
          <w:p w14:paraId="439CA5AD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100-200</w:t>
            </w:r>
          </w:p>
        </w:tc>
        <w:tc>
          <w:tcPr>
            <w:tcW w:w="1182" w:type="dxa"/>
            <w:shd w:val="clear" w:color="auto" w:fill="auto"/>
          </w:tcPr>
          <w:p w14:paraId="6B8CB9DB" w14:textId="77777777" w:rsidR="00F00BAA" w:rsidRPr="00FB062E" w:rsidRDefault="00F00BAA" w:rsidP="00F00BAA">
            <w:pPr>
              <w:spacing w:after="160"/>
              <w:ind w:right="14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  <w:bCs/>
              </w:rPr>
              <w:t>169-181</w:t>
            </w:r>
          </w:p>
        </w:tc>
        <w:tc>
          <w:tcPr>
            <w:tcW w:w="1299" w:type="dxa"/>
            <w:shd w:val="clear" w:color="auto" w:fill="auto"/>
          </w:tcPr>
          <w:p w14:paraId="10C308DD" w14:textId="77777777" w:rsidR="00F00BAA" w:rsidRPr="00FB062E" w:rsidRDefault="00F00BAA" w:rsidP="00F00BAA">
            <w:pPr>
              <w:spacing w:after="16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172-185</w:t>
            </w:r>
          </w:p>
        </w:tc>
        <w:tc>
          <w:tcPr>
            <w:tcW w:w="1067" w:type="dxa"/>
            <w:shd w:val="clear" w:color="auto" w:fill="auto"/>
          </w:tcPr>
          <w:p w14:paraId="2537B4F8" w14:textId="77777777" w:rsidR="00F00BAA" w:rsidRPr="00FB062E" w:rsidRDefault="00F00BAA" w:rsidP="00F00BAA">
            <w:pPr>
              <w:spacing w:after="160"/>
              <w:ind w:right="3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62E">
              <w:rPr>
                <w:rFonts w:ascii="Calibri" w:hAnsi="Calibri" w:cs="Calibri"/>
              </w:rPr>
              <w:t>100%</w:t>
            </w:r>
          </w:p>
        </w:tc>
      </w:tr>
    </w:tbl>
    <w:p w14:paraId="3A5E7376" w14:textId="77777777" w:rsidR="00F00BAA" w:rsidRPr="00FB062E" w:rsidRDefault="00F00BAA" w:rsidP="00F00BAA">
      <w:pPr>
        <w:jc w:val="both"/>
        <w:rPr>
          <w:b/>
          <w:bCs/>
        </w:rPr>
      </w:pPr>
    </w:p>
    <w:sectPr w:rsidR="00F00BAA" w:rsidRPr="00FB062E" w:rsidSect="0091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8D7"/>
    <w:multiLevelType w:val="hybridMultilevel"/>
    <w:tmpl w:val="53CC451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E7D73"/>
    <w:multiLevelType w:val="hybridMultilevel"/>
    <w:tmpl w:val="7A6CEA38"/>
    <w:lvl w:ilvl="0" w:tplc="8AF41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EA7E8C"/>
    <w:multiLevelType w:val="hybridMultilevel"/>
    <w:tmpl w:val="7A6CEA38"/>
    <w:lvl w:ilvl="0" w:tplc="8AF41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64"/>
    <w:rsid w:val="000E1E92"/>
    <w:rsid w:val="000E5709"/>
    <w:rsid w:val="001E6C68"/>
    <w:rsid w:val="00225A64"/>
    <w:rsid w:val="002B7C02"/>
    <w:rsid w:val="002E6D53"/>
    <w:rsid w:val="003562A6"/>
    <w:rsid w:val="003E133F"/>
    <w:rsid w:val="00420776"/>
    <w:rsid w:val="004870A6"/>
    <w:rsid w:val="00673AEF"/>
    <w:rsid w:val="006F6AFF"/>
    <w:rsid w:val="0091221E"/>
    <w:rsid w:val="00973C7B"/>
    <w:rsid w:val="00A95D27"/>
    <w:rsid w:val="00B95A88"/>
    <w:rsid w:val="00BA6CB6"/>
    <w:rsid w:val="00C56C40"/>
    <w:rsid w:val="00CB4144"/>
    <w:rsid w:val="00DB759B"/>
    <w:rsid w:val="00E61626"/>
    <w:rsid w:val="00ED17AC"/>
    <w:rsid w:val="00F00BAA"/>
    <w:rsid w:val="00F379A1"/>
    <w:rsid w:val="00F85E22"/>
    <w:rsid w:val="00FA3B74"/>
    <w:rsid w:val="00FB062E"/>
    <w:rsid w:val="00FB31C9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92806"/>
  <w15:chartTrackingRefBased/>
  <w15:docId w15:val="{4E870C2B-F7E4-4243-8D84-7F2981ED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F00BAA"/>
    <w:pPr>
      <w:spacing w:after="120" w:line="288" w:lineRule="auto"/>
      <w:ind w:left="360"/>
    </w:pPr>
    <w:rPr>
      <w:color w:val="404040" w:themeColor="text1" w:themeTint="BF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0BAA"/>
    <w:rPr>
      <w:color w:val="404040" w:themeColor="text1" w:themeTint="BF"/>
      <w:sz w:val="16"/>
      <w:szCs w:val="16"/>
      <w:lang w:eastAsia="ja-JP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F00BAA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00BA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Mayger</dc:creator>
  <cp:keywords/>
  <dc:description/>
  <cp:lastModifiedBy>Linda Mayger</cp:lastModifiedBy>
  <cp:revision>6</cp:revision>
  <dcterms:created xsi:type="dcterms:W3CDTF">2019-07-28T14:45:00Z</dcterms:created>
  <dcterms:modified xsi:type="dcterms:W3CDTF">2020-01-29T21:04:00Z</dcterms:modified>
</cp:coreProperties>
</file>